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1C_294/2020 vom 24. Juni 2020</w:t>
      </w:r>
    </w:p>
    <w:p>
      <w:r>
        <w:t>Bundesgericht, 2020-06-24, DE</w:t>
      </w:r>
    </w:p>
    <w:p>
      <w:r>
        <w:rPr>
          <w:b/>
        </w:rPr>
        <w:t xml:space="preserve">Quelle: </w:t>
      </w:r>
      <w:r>
        <w:t>https://mcp.opencaselaw.ch/entscheid/bger_1C_294_2020</w:t>
      </w:r>
    </w:p>
    <w:p>
      <w:r>
        <w:t>FR: TF 1C_294/2020 du 24 juin 2020</w:t>
      </w:r>
    </w:p>
    <w:p>
      <w:r>
        <w:t>IT: TF 1C_294/2020 del 24 giugno 2020</w:t>
      </w:r>
    </w:p>
    <w:p>
      <w:pPr>
        <w:pStyle w:val="Heading2"/>
      </w:pPr>
      <w:r>
        <w:t>Erwägungen</w:t>
      </w:r>
    </w:p>
    <w:p>
      <w:r>
        <w:rPr>
          <w:b/>
        </w:rPr>
        <w:t>E. 1</w:t>
      </w:r>
    </w:p>
    <w:p>
      <w:r>
        <w:t>Mit Urteil vom 1. April 2020, welches am 24. April 2020 versandt worden war, wies das Verwaltungsgericht des Kantons Zürich die Beschwerde von A.________ betreffend Polizeidaten ab, soweit es darauf eintrat.</w:t>
      </w:r>
    </w:p>
    <w:p>
      <w:r>
        <w:t>Mit Eingabe vom 25. Mai 2020 erhebt A.________ Beschwerde gegen diesen Entscheid. Er rügt eine "Umgehung der Gesetzgebung" und stellt die Nachlieferung einer detaillierten Begründung in Aussicht.</w:t>
      </w:r>
    </w:p>
    <w:p>
      <w:r>
        <w:t>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Die Eingabe des Beschwerdeführers enthält weder einen Antrag noch eine nachvollziehbare Begründung. Die von ihm in Aussicht gestellte detaillierte Begründung hat er nicht eingereicht, und sie wäre nunmehr, nach Ablauf der 30-tägigen Rechtsmittelfrist von Art. 100 Abs. 1 BGG , ohnehin unbeachtlich. Auf die Beschwerde ist wegen Verletzung der gesetzlichen Begründungspflicht im vereinfachten Verfahren nicht einzutreten, wobei von der Erhebung von Kosten ausnahmsweise abgesehen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