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1C_294/2012 vom 11. Juni 2012</w:t>
      </w:r>
    </w:p>
    <w:p>
      <w:r>
        <w:t>Bundesgericht, 2012-06-11, DE</w:t>
      </w:r>
    </w:p>
    <w:p>
      <w:r>
        <w:rPr>
          <w:b/>
        </w:rPr>
        <w:t xml:space="preserve">Quelle: </w:t>
      </w:r>
      <w:r>
        <w:t>https://mcp.opencaselaw.ch/entscheid/bger_1C_294_2012</w:t>
      </w:r>
    </w:p>
    <w:p>
      <w:r>
        <w:t>FR: TF 1C_294/2012 du 11 juin 2012</w:t>
      </w:r>
    </w:p>
    <w:p>
      <w:r>
        <w:t>IT: TF 1C_294/2012 del 11 giugno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zuständige Staatsanwaltschaft in Wien führt unter anderem gegen X.________ ein Strafverfahren wegen Untreue. Am 21. Dezember 2011 ersuchte sie die Schweiz um Rechtshilfe.</w:t>
      </w:r>
    </w:p>
    <w:p>
      <w:r>
        <w:t>Mit Eintretens- und Zwischenverfügung vom 29. Dezember 2011 trat die Staatsanwaltschaft I des Kantons Zürich auf das Rechtshilfeersuchen ein und verfügte unter anderem eine Sperre von Vermögenswerten.</w:t>
      </w:r>
    </w:p>
    <w:p>
      <w:r>
        <w:t>Auf die von X.________ dagegen erhobene Beschwerde trat das Bundesstrafgericht (Beschwerdekammer) am 15. Mai 2012 nicht ein.</w:t>
      </w:r>
    </w:p>
    <w:p>
      <w:r>
        <w:rPr>
          <w:b/>
        </w:rPr>
        <w:t>E. 2</w:t>
      </w:r>
    </w:p>
    <w:p>
      <w:r>
        <w:t>Mit Telefax-Eingaben vom 30. Mai 2012 an das Bundesstrafgericht erhebt X.________ Beschwerde gegen dessen Entscheid vom 15. Mai 2012.</w:t>
      </w:r>
    </w:p>
    <w:p>
      <w:r>
        <w:t>Das Bundesstrafgericht hat die Eingaben zuständigkeitshalber dem Bundesgericht überwiesen.</w:t>
      </w:r>
    </w:p>
    <w:p>
      <w:r>
        <w:rPr>
          <w:b/>
        </w:rPr>
        <w:t>E. 3</w:t>
      </w:r>
    </w:p>
    <w:p>
      <w:r>
        <w:t>Gegen den angefochtenen Entscheid ist die Beschwerde an das Bundesgericht unter den Voraussetzungen von Art. 84 und Art. 93 Abs. 1 und 2 BGG grundsätzlich möglich. Die Beschwerdefrist beträgt gemäss Art. 100 Abs. 2 lit. b BGG zehn Tage.</w:t>
      </w:r>
    </w:p>
    <w:p>
      <w:r>
        <w:t>Wie sich dem Schreiben des früheren Anwalts des Beschwerdeführers an diesen vom 21. Mai 2012 (Beschwerdebeilage 2) entnehmen lässt, ist die Beschwerdefrist am 31. Mai 2012 abgelaufen.</w:t>
      </w:r>
    </w:p>
    <w:p>
      <w:r>
        <w:t>Der Umstand, dass der Beschwerdeführer die Beschwerde nicht beim Bundesgericht, sondern bei der Vorinstanz eingereicht hat, schadet ihm nicht ( Art. 48 Abs. 3 BGG ). Die Beschwerde kann nach ständiger Rechtsprechung jedoch nicht gültig per Fax erhoben werden ( BGE 121 II 252 E. 4 S. 255 f.; Urteile des Bundesgerichts 4A_503/2009 vom 17. November 2009 E. 2.1; 2C_754/2008 vom 23. Dezember 2008 E. 2.1; 9C_739/2007 vom 28. November 2007 E. 1.2). Auf die Beschwerde kann schon deshalb nicht eingetreten werden.</w:t>
      </w:r>
    </w:p>
    <w:p>
      <w:r>
        <w:t>Sie genügte im Übrigen den Begründungsanforderungen von Art. 42 Abs. 2 BGG nicht, da der Beschwerdeführer nicht darlegt, weshalb ein besonders bedeutender Fall im Sinne von Art. 84 BGG vorliegen soll.</w:t>
      </w:r>
    </w:p>
    <w:p>
      <w:r>
        <w:rPr>
          <w:b/>
        </w:rPr>
        <w:t>E. 4</w:t>
      </w:r>
    </w:p>
    <w:p>
      <w:r>
        <w:t>Nach dem Gesagten ist die Beschwerde offensichtlich unzulässig. Damit ist gemäss Art. 108 BGG der Einzelrichter zum Entscheid befugt und beschränkt sich dessen Begründung auf eine kurze Angabe des Unzulässigkeitsgrunds.</w:t>
      </w:r>
    </w:p>
    <w:p>
      <w:r>
        <w:t>Der Beschwerdeführer trägt die Kosten des bundesgerichtlichen Verfahrens ( Art. 66 Abs. 1 Satz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