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294/2011 vom 25. Oktober 2011</w:t>
      </w:r>
    </w:p>
    <w:p>
      <w:r>
        <w:t>Bundesgericht, 2011-10-25, DE</w:t>
      </w:r>
    </w:p>
    <w:p>
      <w:r>
        <w:rPr>
          <w:b/>
        </w:rPr>
        <w:t xml:space="preserve">Quelle: </w:t>
      </w:r>
      <w:r>
        <w:t>https://mcp.opencaselaw.ch/entscheid/bger_1C_294_2011</w:t>
      </w:r>
    </w:p>
    <w:p>
      <w:r>
        <w:t>FR: TF 1C 294/2011 du 25 octobre 2011</w:t>
      </w:r>
    </w:p>
    <w:p>
      <w:r>
        <w:t>IT: TF 1C 294/2011 del 25 ottobre 2011</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das Verwaltungsgericht sei in unzulässiger Weise von den tatsächlichen Feststellungen des Strafrichters abgewichen und habe den Sachverhalt willkürlich festgestellt. Diese Rüge ist zulässig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127 II 302 nicht publ. E. 3a; 124 II 103 E. 1c/bb).</w:t>
      </w:r>
    </w:p>
    <w:p>
      <w:r>
        <w:rPr>
          <w:b/>
        </w:rPr>
        <w:t>E. 3.1</w:t>
      </w:r>
    </w:p>
    <w:p>
      <w:r>
        <w:t>Der Beschwerdeführer macht geltend, das Verwaltungsgericht weiche willkürlich vom Sachverhalt ab, wie er vom Strafrichter festgestellt worden sei, indem es davon ausgehe, dass er während des Überholmanövers des Patrouillenwagens auf der A1 knapp vor diesem auf die Überholspur ausgeschwenkt sei und dieses dadurch zu einer Vollbremsung gezwungen habe. Nicht bestritten sei, dass er auf der A2 bei der Suche nach einem Radiosender eine gewisse Schlangenlinie gefahren sei, wobei er aber seine Fahrspur nicht verlassen habe. Diese Fahrweise sei der Polizei aufgefallen, und deswegen sei er vom Strafrichter wegen mangelnder Aufmerksamkeit ( Art. 31 Abs. 1 SVG und Art. 3 Abs. 1 VRV ) mit Fr. 500.-- gebüsst worden. Wie sich aus der Kurzbegründung des Strafurteils ergebe, habe sich im Strafverfahren gezeigt, dass er zu keiner Zeit andere Verkehrsteilnehmer gefährdet habe.</w:t>
      </w:r>
    </w:p>
    <w:p>
      <w:r>
        <w:rPr>
          <w:b/>
        </w:rPr>
        <w:t>E. 3.2</w:t>
      </w:r>
    </w:p>
    <w:p>
      <w:r>
        <w:t>Das mündlich eröffnete Urteil des Gerichtspräsidiums Zofingen vom 11. Mai 2011 erging im Dispositiv, d.h. ohne schriftliche Begründung. Weder der Beschwerdeführer noch die Staatsanwaltschaft machten vom ihnen nach § 168 Abs. 1 der damals anwendbaren Aargauer Strafprozessordnung vom 11. November 1958 (StPO/AG) zustehenden Recht Gebrauch, innert 10 Tagen ab Zustellung des Urteils dessen Begründung zu verlangen. Insofern gibt es keine bzw. jedenfalls keine schriftlichen "tatsächlichen Feststellungen des Strafrichters", an denen sich das Verwaltungsgericht bei der Beurteilung der Administrativmassnahme nach Massgabe der in E. 2.2 angeführten Rechtsprechung hätte orientieren müssen. Insofern hängt der Vorwurf, das Verwaltungsgericht sei unzulässigerweise von den Sachverhaltsfeststellungen des Strafrichters abgewichen, in der Luft. Man könnte sich zudem mit Fug fragen, ob seine Erhebung nicht gegen Treu und Glauben verstösst, nachdem der Beschwerdeführer vom Strafrichter nicht verlangte, seinen Entscheid zu begründen.</w:t>
      </w:r>
    </w:p>
    <w:p>
      <w:r>
        <w:rPr>
          <w:b/>
        </w:rPr>
        <w:t>E. 3.3</w:t>
      </w:r>
    </w:p>
    <w:p>
      <w:r>
        <w:t>Allerdings findet sich in den Akten eine in Briefform an den Staatsanwalt verfasste "Kurzbegründung zum Urteilsdispositiv" der Gerichtsschreiberin, die, jedenfalls nach dem Text der Empfangsbestätigungen, nur dem Staatsanwalt zugestellt wurde. Die Rechtsnatur dieser von der StPO/AG nicht vorgesehenen (§§ 166 ff. e contrario) Kurzbegründung erscheint unklar. Sie ist jedenfalls nicht Bestandteil des Urteils vom gleichen Tag, und es ist fraglich, ob der Gerichtspräsident an sie gebunden gewesen wäre, wenn er auf Begehren einer Partei gemäss § 168 Abs. 1 StPO /AG nachträglich ein vollständiges Urteil mit den tatsächlichen und rechtlichen Erwägungen hätte ausfertigen müssen. Das Verwaltungsgericht hat die im Strafverfahren erhobenen Beweise selber gewürdigt; in Bezug auf die rechtliche Würdigung des Sachverhalts geht es davon aus, nicht an die Erkenntnisse des Strafrichters gebunden zu sein; die Kurzbegründung hält es für "unerheblich" (angefochtener Entscheid S. 6). Es kann vorliegend offen bleiben, ob diese Kurzbegründung das Verwaltungsgericht in irgendeiner Weise binden konnte, da der angefochtene Warnungsentzug im Ergebnis sowohl aufgrund der Sachverhaltsfeststellungen des Verwaltungsgerichts als auch derjenigen der Gerichtsschreiberin in ihrer Kurzbegründung offensichtlich nicht zu beanstanden ist. Es besteht zudem kein aktuelles Interesse, Auslegungsfragen zur nicht mehr in Kraft stehenden StPO/AG zu klären, soweit dies für die Falllösung nicht notwendig ist.</w:t>
      </w:r>
    </w:p>
    <w:p>
      <w:r>
        <w:rPr>
          <w:b/>
        </w:rPr>
        <w:t>E. 3.4</w:t>
      </w:r>
    </w:p>
    <w:p>
      <w:r>
        <w:t>Nach der Kurzbegründung, auf die sich der Beschwerdeführer ausdrücklich beruft, ging der Strafrichter davon aus, dass er auf der A2 in "Schlangenlinien" fuhr, weil er am Autoradio manipulierte. Diesen Vorfall stufte er als Nichtbeherrschen des Fahrzeugs im Sinn von Art. 31 Abs. 1 SVG wegen Vornahme einer Verrichtung ein, welche die Bedienung des Fahrzeugs erschwert ( Art. 3 Abs. 1 VRV ). In Bezug auf den zweiten Vorfall, der sich auf der A1 abspielte, geht der Strafrichter davon aus, dass der Beschwerdeführer von der Normal- auf die Überholspur wechselte, obwohl diese nicht frei war, wobei er offen liess, ob der Beschwerdeführer vor dem Spurwechsel die Überholspur gar nicht kontrollierte oder ob sich das Polizeifahrzeug im toten Winkel der Spiegel befand. Dieses Verhalten qualifizierte er als Nichtbeherrschen des Fahrzeugs im Sinn von Art. 31 Abs. 1 SVG . Das Verwaltungsgericht geht grundsätzlich vom gleichen Sachverhalt aus, hält aber aufgrund der Aussagen der beiden Polizeibeamten für erwiesen, dass sie eine Kollision mit dem vor ihnen auf die Überholspur wechselnden Beschwerdeführer nur durch eine Vollbremsung vermeiden konnten. Diese Feststellung ist in der Kurzbegründung nicht enthalten.</w:t>
      </w:r>
    </w:p>
    <w:p>
      <w:r>
        <w:rPr>
          <w:b/>
        </w:rPr>
        <w:t>E. 3.5</w:t>
      </w:r>
    </w:p>
    <w:p>
      <w:r>
        <w:t>Wer auf einer Autobahn bei einem Tempo von über 100 km/h plötzlich in "Schlangenlinien" fährt, weil er seine Aufmerksamkeit der Bedienung des Autoradios widmet anstatt der Strasse, schafft offensichtlich eine Gefahrensituation sowohl für sich selber als auch für andere Verkehrsteilnehmer, die sich beispielsweise beim Überholen zu gefährlichen Bremsmanövern veranlasst sehen könnten. Keiner weiteren Ausführungen bedarf, dass derjenige, der auf die Überholspur wechselt, ohne sich zu vergewissern, dass sie frei ist, eine Gefahr für sich und andere hervorruft. Beide Vorfälle sind somit klarerweise als (mindestens) mittelschwere Verkehrsregelverletzungen im Sinn von Art. 16b SVG zu qualifizieren. Der Strafrichter war offenbar nicht davon überzeugt, dass der Beschwerdeführer durch seinen Wechsel auf die Überholspur die Polizeipatrouille zu einer Vollbremsung zwang, sonst hätte er zwingend auf eine grobe Verkehrsregelverletzung im Sinn von Art. 90 Ziff. 2 SVG erkennen müssen. Auch wenn die Einschätzung des Verwaltungsgerichts, die Darstellung der Polizeibeamten sei in diesem Punkt überzeugend, wesentlich plausibler erscheint als die Beurteilung des Strafrichters, ist unter diesen Umständen nicht zu beanstanden, dass das Verwaltungsgericht zugunsten des Beschwerdeführers "nur" von einer mittelschweren Widerhandlung im Sinn von Art. 16b SVG ausging. Die Beschwerde ist offensichtlich unbegründet.</w:t>
      </w:r>
    </w:p>
    <w:p>
      <w:r>
        <w:rPr>
          <w:b/>
        </w:rPr>
        <w:t>E. 4</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