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292/2024 vom 28. Mai 2024</w:t>
      </w:r>
    </w:p>
    <w:p>
      <w:r>
        <w:t>Bundesgericht, 2024-05-28, DE</w:t>
      </w:r>
    </w:p>
    <w:p>
      <w:r>
        <w:rPr>
          <w:b/>
        </w:rPr>
        <w:t xml:space="preserve">Quelle: </w:t>
      </w:r>
      <w:r>
        <w:t>https://mcp.opencaselaw.ch/entscheid/bger_1C_292_2024</w:t>
      </w:r>
    </w:p>
    <w:p>
      <w:r>
        <w:t>FR: TF 1C 292/2024 du 28 mai 2024</w:t>
      </w:r>
    </w:p>
    <w:p>
      <w:r>
        <w:t>IT: TF 1C 292/2024 del 28 maggio 2024</w:t>
      </w:r>
    </w:p>
    <w:p>
      <w:pPr>
        <w:pStyle w:val="Heading2"/>
      </w:pPr>
      <w:r>
        <w:t>Regeste</w:t>
      </w:r>
    </w:p>
    <w:p>
      <w:r>
        <w:t>Bauen ausserhalb der Bauzonen | Raumplanung und öffentliches Baurecht</w:t>
      </w:r>
    </w:p>
    <w:p>
      <w:pPr>
        <w:pStyle w:val="Heading2"/>
      </w:pPr>
      <w:r>
        <w:t>Erwägungen</w:t>
      </w:r>
    </w:p>
    <w:p>
      <w:r>
        <w:rPr>
          <w:b/>
        </w:rPr>
        <w:t>E. 1</w:t>
      </w:r>
    </w:p>
    <w:p>
      <w:r>
        <w:t>Mit Entscheid vom 27. Februar 2024 verweigerte der Gemeinderat Werthenstein der B.________ AG die Baubewilligung für den Umbau des Tankstellengebäudes auf dem in der Landwirtschaftszone gelegenen Grundstück Nr. 708 (Grundbuch Werthenstein) und ordnete die Wiederherstellung des gesetzmässigen Zustands an. Auf die öffentlich-rechtliche Einsprache von A.________ trat er nicht ein; mit den zivilrechtlichen Einsprachepunkten verwies er die Parteien an das Zivilgericht.</w:t>
      </w:r>
    </w:p>
    <w:p>
      <w:r>
        <w:rPr>
          <w:b/>
        </w:rPr>
        <w:t>E. 2</w:t>
      </w:r>
    </w:p>
    <w:p>
      <w:r>
        <w:t>Gegen den Entscheid des Gemeinderats Werthenstein gelangte A.________ - soweit sie betreffend - an das Kantonsgericht Luzern. Dieses trat mit Urteil vom 9. April 2024 auf die Verwaltungsgerichtsbeschwerde nicht ein, da die Beschwerdeschrift weder einen klaren, auf den angefochtenen Entscheid bezogenen Antrag noch eine nachvollziehbare Begründung enthalte und diese Mängel innert der hierfür angesetzten Frist nicht behoben worden seien. Weiter auferlegte es A.________ entsprechend dem Verfahrensausgang die Verfahrenskosten von Fr. 300.--.</w:t>
      </w:r>
    </w:p>
    <w:p>
      <w:r>
        <w:rPr>
          <w:b/>
        </w:rPr>
        <w:t>E. 3</w:t>
      </w:r>
    </w:p>
    <w:p>
      <w:r>
        <w:t>Mit Eingabe vom 8. Mai 2024 (Postaufgabe) erhebt A.________ beim Bundesgericht sinngemäss Beschwerde gegen das Urteil des Kantonsgerichts vom 9. April 2024.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Beschwerdeführerin setzt sich in ihrer Eingabe an das Bundesgericht mit den entscheidwesentlichen Erwägungen im angefochtenen Urteil nicht ansatzweise auseinander. Sie legt nicht dar, inwiefern die Vorinstanz Recht im Sinne von Art. 42 Abs. 2 BGG verletzt haben soll, indem sie mit der erwähnten Begründung nicht auf ihr Rechtsmittel eingetreten ist und ihr die Verfahrenskosten von Fr. 300.-- auferlegt hat. Ihre Beschwerde genügt den Begründungsanforderungen somit offensichtlich nicht. Soweit sie sich im Zusammenhang mit der fraglichen Tankstelle in materieller Weise äussert, geht sie weiter über den zulässigen Gegenstand des vorliegenden Beschwerdeverfahrens hinaus, ist dieser in der Sache doch auf die Frage beschränkt, ob die Vorinstanz zu Recht nicht auf die Beschwerde eingetreten ist (vgl. BGE 144 II 184 E. 1.1; 139 II 233 E. 3.2: 135 II 38 E. 1.2). Damit ist auf die Beschwerde im vereinfachten Verfahren nach Art. 108 Abs. 1 BGG nicht einzutreten.</w:t>
      </w:r>
    </w:p>
    <w:p>
      <w:r>
        <w:rPr>
          <w:b/>
        </w:rPr>
        <w:t>E. 5</w:t>
      </w:r>
    </w:p>
    <w:p>
      <w:r>
        <w:t>Bei diesem Verfahrensausgang ist die Beschwerdeführerin an sich kostenpflichtig; auf eine Kostenerhebung kann aber verzichtet werden ( Art. 66 Abs. 1 BGG ). Parteientschädigungen sind keine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