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1C_291/2019 vom 25. November 2019</w:t>
      </w:r>
    </w:p>
    <w:p>
      <w:r>
        <w:t>Bundesgericht, 2019-11-25, DE</w:t>
      </w:r>
    </w:p>
    <w:p>
      <w:r>
        <w:rPr>
          <w:b/>
        </w:rPr>
        <w:t xml:space="preserve">Quelle: </w:t>
      </w:r>
      <w:r>
        <w:t>https://mcp.opencaselaw.ch/entscheid/bger_1C_291_2019</w:t>
      </w:r>
    </w:p>
    <w:p>
      <w:r>
        <w:t>FR: TF 1C_291/2019 du 25 novembre 2019</w:t>
      </w:r>
    </w:p>
    <w:p>
      <w:r>
        <w:t>IT: TF 1C_291/2019 del 25 novembre 2019</w:t>
      </w:r>
    </w:p>
    <w:p>
      <w:pPr>
        <w:pStyle w:val="Heading2"/>
      </w:pPr>
      <w:r>
        <w:t>Erwägungen</w:t>
      </w:r>
    </w:p>
    <w:p>
      <w:r>
        <w:rPr>
          <w:b/>
        </w:rPr>
        <w:t>E. 1.1</w:t>
      </w:r>
    </w:p>
    <w:p>
      <w:r>
        <w:t>Das angefochtene Urteil des Verwaltungsgerichts ist ein Endentscheid einer letzten kantonalen Instanz ( Art. 86 Abs.1 lit. d und Art. 90 BGG ) über eine temporäre Verkehrsführung, mithin eine öffentlich-rechtliche Angelegenheit ( Art. 82 BGG ). Ein Ausschlussgrund im Sinne von Art. 83 ff. BGG liegt nicht vor. Damit steht die Beschwerde in öffentlich-rechtlichen Angelegenheiten grundsätzlich offen. Der Beschwerdeführer ist am 27. Mai 2019 frist- und formgerecht an das Bundesgericht gelangt.</w:t>
      </w:r>
    </w:p>
    <w:p>
      <w:r>
        <w:rPr>
          <w:b/>
        </w:rPr>
        <w:t>E. 1.2</w:t>
      </w:r>
    </w:p>
    <w:p>
      <w:r>
        <w:t>Von vornherein nicht eingetreten werden kann indessen auf die Anträge, die der Beschwerdeführer in seiner Eingabe vom 28. Oktober 2019 neu bzw. erstmals stellt, insbesondere diverse Feststellungsbegehren. Zum einen sind diese Begehren erst nach Ablauf der Beschwerdefrist (vgl. Art. 100 Abs. 1 BGG ) eingereicht worden, also verspätet. Zum andern sind neue Begehren vor dem Bundesgericht unzulässig ( Art. 99 Abs. 2 BGG ). Das Bundesgericht kann nur den angefochtenen Entscheid auf seine Rechtmässigkeit überprüfen; was nicht Streitgegenstand des vorinstanzlichen Verfahrens war, kann ihm nicht zur Beurteilung vorgelegt werden. Das Bundesgericht ist auch nicht Aufsichtsinstanz über die kantonalen Behörden, kann also diesen nicht - wie in der Eingabe vom 28. Oktober 2019 beantragt - eine Rüge erteilen. Insoweit ist die Beschwerde offensichtlich unzulässig und durch Nichteintreten zu erledigen ( Art. 108 BGG ).</w:t>
      </w:r>
    </w:p>
    <w:p>
      <w:r>
        <w:rPr>
          <w:b/>
        </w:rPr>
        <w:t>E. 1.3</w:t>
      </w:r>
    </w:p>
    <w:p>
      <w:r>
        <w:t>Für das Beschwerderecht gilt Art. 89 BGG . Danach wird vorausgesetzt, dass der Beschwerdeführer am vorinstanzlichen Verfahren teilgenommen hat (Abs. 1 lit. a), durch den angefochtenen Entscheid besonders berührt ist (Abs. 1 lit. b) und ein schutzwürdiges Interesse an dessen Aufhebung oder Änderung hat (Abs. 1 lit. c BGG). Dieses sog. Rechtsschutzinteresse muss nach der Rechtsprechung ein aktuelles und praktisches sein, d.h. dem Beschwerdeführer bei Gutheissung seiner Begehren einen praktischen Nutzen eintragen (statt vieler BGE 141 II 50 E. 2.1 S. 52). Ein bloss mittelbares oder theoretisches Interesse am Verfahrensausgang oder an der Beantwortung von Rechtsfragen ohne praktische Relevanz für das laufende Verfahren reicht nicht aus ( BGE 139 II 279 E. 2.2 S. 282 m.H.).</w:t>
      </w:r>
    </w:p>
    <w:p>
      <w:r>
        <w:t>Das Justiz- und Sicherheitsdepartement hat das Bundesgericht am 10. September 2019 wissen lassen, dass das umstrittene temporäre Verkehrsregime - insbesondere die Verkehrsumleitung über den Grenzacherweg - aufgehoben worden ist. Der Beschwerdeführer widerspricht dem nicht. Mit der Aufhebung der Verkehrsanordnungen, die den Beschwerdeführer betreffen, hat der Rechtsstreit seinen Gegenstand verloren. Er ist vom Einzelrichter als gegenstandslos geworden abzuschreiben ( Art. 32 Abs. 2 BGG ; vgl. BGE 142 I 135 E. 1.3.1 S. 143).</w:t>
      </w:r>
    </w:p>
    <w:p>
      <w:r>
        <w:t>Der Beschwerdeführer meint zwar, das Bundesgericht müsse die Beschwerde trotzdem behandeln, da sich die aufgeworfenen Fragen unter gleichen oder ähnlichen Umständen jederzeit wieder stellen könnten, an ihrer Beantwortung wegen ihrer grundsätzlichen Bedeutung ein hinreichendes öffentliches Interesse bestehe und eine rechtzeitige Überprüfung im Einzelfall kaum je möglich wäre. In der Tat verzichtet das Bundesgericht unter diesen Voraussetzungen ausnahmsweise auf das Erfordernis eines aktuellen Interesses ( BGE 141 II 91 E. 1.3 S. 95). Entgegen der Auffassung des Beschwerdeführers sind sie jedoch vorliegend nicht erfüllt. Provisorische Verkehrslenkungen sind in aller Regel und auch hier ausgesprochen auf den Einzelfall und die konkreten Verhältnisse bezogen und nicht grundsätzlicher Art. Es kann auch nicht gesagt werden, das Bundesgericht gelange kaum je dazu, sie zu beurteilen. Es rechtfertigt sich deshalb nicht, die Beschwerde ausnahmsweise trotz dahingefallenem Rechtsschutzinteresse zu behandeln.</w:t>
      </w:r>
    </w:p>
    <w:p>
      <w:r>
        <w:rPr>
          <w:b/>
        </w:rPr>
        <w:t>E. 1.4</w:t>
      </w:r>
    </w:p>
    <w:p>
      <w:r>
        <w:t>Nichts anderes gilt für die gerügte Rechtsverzögerung. Mit dem Dahinfallen der Verkehrsanordnungen besteht auch kein aktuelles Interesse mehr daran, zu untersuchen und festzustellen, ob einzelne Verfahrensabschnitte ungebührlich viel Zeit in Anspruch nahmen. Die Frage nach der Dauer eines Verfahrens ist zudem derart einzelfallbezogen, dass sie sich kaum je unter gleichen oder ähnlichen Umständen wieder stellt, weshalb es insoweit ebenfalls mit der Verfahrensabschreibung zufolge Gegenstandslosigkeit sein Bewenden haben muss.</w:t>
      </w:r>
    </w:p>
    <w:p>
      <w:r>
        <w:rPr>
          <w:b/>
        </w:rPr>
        <w:t>E. 2</w:t>
      </w:r>
    </w:p>
    <w:p>
      <w:r>
        <w:t>Gemäss Art. 71 BGG i.V.m. Art. 72 BZP (SR 273) entscheidet der Richter bei Gegenstandslosigkeit des Rechtsstreits mit summarischer Begründung über die Prozesskosten aufgrund der Sachlage vor Eintritt des Erledigungsgrundes. Eine solche Prüfung erübrigt sich vorliegend, da es aufgrund der Verfahrensumstände als gerechtfertigt erscheint, auf die Erhebung von Gerichtskosten zu verzichten ( Art. 66 Abs. 1 BGG ) und eine Parteientschädigung an den nicht anwaltlich vertretenen Beschwerdeführer ebenso wie an die in ihrem amtlichen Wirkungskreis handelnden Behörden hier ausscheidet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