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1C_290/2014 vom 20. November 2014</w:t>
      </w:r>
    </w:p>
    <w:p>
      <w:r>
        <w:t>Bundesgericht, 2014-11-20, DE</w:t>
      </w:r>
    </w:p>
    <w:p>
      <w:r>
        <w:rPr>
          <w:b/>
        </w:rPr>
        <w:t xml:space="preserve">Quelle: </w:t>
      </w:r>
      <w:r>
        <w:t>https://mcp.opencaselaw.ch/entscheid/bger_1C_290_2014</w:t>
      </w:r>
    </w:p>
    <w:p>
      <w:r>
        <w:t>FR: TF 1C_290/2014 du 20 novembre 2014</w:t>
      </w:r>
    </w:p>
    <w:p>
      <w:r>
        <w:t>IT: TF 1C_290/2014 del 20 novembre 2014</w:t>
      </w:r>
    </w:p>
    <w:p>
      <w:pPr>
        <w:pStyle w:val="Heading2"/>
      </w:pPr>
      <w:r>
        <w:t>Erwägungen</w:t>
      </w:r>
    </w:p>
    <w:p>
      <w:r>
        <w:rPr>
          <w:b/>
        </w:rPr>
        <w:t>E. 1.1</w:t>
      </w:r>
    </w:p>
    <w:p>
      <w:r>
        <w:t>Das Bundesgericht prüft seine Zuständigkeit und die Zulässigkeit der Beschwerden von Amtes wegen ( Art. 29 Abs. 1 BGG ; BGE 133 II 249 E. 1.1 S. 251).</w:t>
      </w:r>
    </w:p>
    <w:p>
      <w:r>
        <w:t>Die Beschwerden betreffen dieselbe Streitsache und stehen in einem engen prozessualen und sachlichen Zusammenhang. Es rechtfertigt sich daher, die Beschwerdeverfahren zu vereinigen ( Art. 71 BGG i.V.m. Art. 24 BZP ).</w:t>
      </w:r>
    </w:p>
    <w:p>
      <w:r>
        <w:rPr>
          <w:b/>
        </w:rPr>
        <w:t>E. 1.2</w:t>
      </w:r>
    </w:p>
    <w:p>
      <w:r>
        <w:t>Der angefochtene Entscheid betrifft die Festsetzung eines Gestaltungsplans als (Sonder-) Nutzungsplan im Sinne von Art. 14 ff. RPG (SR 700). Dagegen steht grundsätzlich die Beschwerde in öffentlich-rechtlichen Angelegenheiten offen ( Art. 82 ff. BGG ; BGE 135 II 22 E. 1.1 S. 24).</w:t>
      </w:r>
    </w:p>
    <w:p>
      <w:r>
        <w:t>Der Beschwerde in öffentlich-rechtlichen Angelegenheiten im Sinne von Art. 82 lit. a BGG unterliegen Endentscheide, die das Verfahren abschliessen ( Art. 90 BGG ). Unter bestimmten Voraussetzungen können Teil-, Vor- und Zwischenentscheide selbstständig angefochten werden ( Art. 91 - 93 BGG ). Auf Beschwerden gegen Rechtsmittelentscheide über die Festsetzung von Nutzungsplänen tritt das Bundesgericht grundsätzlich nur ein, wenn ein Genehmigungsentscheid der zuständigen kantonalen Behörde im Sinne von Art. 26 Abs. 1 RPG vorliegt und dieser von der letzten kantonalen Instanz überprüft werden konnte (vgl. BGE 135 II 22 E. 1.2 S. 24 f. mit Hinweisen; Urteil des Bundesgerichts 1C_383/2011 vom 28. September 2011 E. 1.2).</w:t>
      </w:r>
    </w:p>
    <w:p>
      <w:r>
        <w:rPr>
          <w:b/>
        </w:rPr>
        <w:t>E. 1.3.1</w:t>
      </w:r>
    </w:p>
    <w:p>
      <w:r>
        <w:t>Die Vorinstanz hat mit Entscheid vom 24. April 2014 i.S. C.________ und Mitbeteiligte den Genehmigungsbeschluss des Regierungsrats vom 29. Oktober 2013 betreffend den Gestaltungsplan "Obergass" aufgehoben und die Angelegenheit zur Neubeurteilung an den Regierungsrat zurückgewiesen (vgl. Sachverhalt lit. A. hiervor).</w:t>
      </w:r>
    </w:p>
    <w:p>
      <w:r>
        <w:t>Im angefochtenen Entscheid hat die Vorinstanz erwogen, mit der Aufhebung der regierungsrätlichen Genehmigung sei auch der Gestaltungsplan aufgehoben. Die Voraussetzungen für einen Weiterzug des Entscheids an das Bundesgericht seien deshalb aktuell nicht gegeben (angefochtener Entscheid E. 7.2.1).</w:t>
      </w:r>
    </w:p>
    <w:p>
      <w:r>
        <w:rPr>
          <w:b/>
        </w:rPr>
        <w:t>E. 1.3.2</w:t>
      </w:r>
    </w:p>
    <w:p>
      <w:r>
        <w:t>Die Vorinstanz hat weiter ausgeführt, der Regierungsrat sei gehalten, dem Verwaltungsgericht den im Nachgang zum Entscheid i.S. C.________ und Mitbeteiligte gefällten neuen (Genehmigungs-) Beschluss mitzuteilen. Werde gegen den Regierungsratsbeschluss Verwaltungsgerichtsbeschwerde erhoben, sei zunächst der neue Verwaltungsgerichtsentscheid abzuwarten. Sei dieser ergangen oder werde der neue Regierungsratsbeschluss nicht angefochten und liege damit auf kantonaler Ebene ein genehmigter Gestaltungsplanerlass vor, so werde den Beschwerdeführern der vorliegende Entscheid vom 24. April 2014 nochmals, aber mit einer Rechtsmittelbelehrung versehen, eröffnet (angefochtener Entscheid E. 7.3).</w:t>
      </w:r>
    </w:p>
    <w:p>
      <w:r>
        <w:rPr>
          <w:b/>
        </w:rPr>
        <w:t>E. 1.4</w:t>
      </w:r>
    </w:p>
    <w:p>
      <w:r>
        <w:t>Die Einschätzung der Vorinstanz (E. 1.3.1) ist nach dem Gesagten zutreffend (vgl. E. 1.2). Es liegt noch kein letztinstanzlicher kantonaler Endentscheid betreffend den Gestaltungsplan "Obergass" vor, welcher die Rechte und Pflichten der betroffenen Personen verbindlich regelt (vgl. Sachverhalt lit. B. hiervor). Auf die Beschwerden kann deshalb nicht eingetreten werden.</w:t>
      </w:r>
    </w:p>
    <w:p>
      <w:r>
        <w:t>Die von der Vorinstanz in Aussicht gestellte Vorgehensweise (E. 1.3.2) ist mit dem Bundesrecht und der in BGE 135 II 22 publizierten Rechtsprechung vereinbar (vgl. auch Urteil des Bundesgerichts 1C_383/2011 vom 28. September 2011 E. 1.2).</w:t>
      </w:r>
    </w:p>
    <w:p>
      <w:r>
        <w:rPr>
          <w:b/>
        </w:rPr>
        <w:t>E. 1.5</w:t>
      </w:r>
    </w:p>
    <w:p>
      <w:r>
        <w:t>Die Vorinstanz hat indes im angefochtenen Entscheid auch erwogen, der dargestellte Verfahrensablauf (vgl. E. 1.3.2) gelte nicht bei Nichteintretensentscheiden, welche das Verfahren prozessual zum Abschluss brächten. Diese seien gemäss Urteil des Bundesgerichts 1C_39/2008 vom 28. August 2008 direkt bzw. sofort beim Bundesgericht anfechtbar. Bezüglich jener Rügen, auf welche nicht eingetreten werde (angefochtener Entscheid E. 5), beginne die 30-tägige Beschwerdefrist daher bereits mit der (ersten) Zustellung des Entscheids vom 24. April 2014 zu laufen (vgl. angefochtener Entscheid E. 7.2.2 und Rechtsmittelbelehrung der Vorinstanz gemäss Dispositiv-Ziff. 5).</w:t>
      </w:r>
    </w:p>
    <w:p>
      <w:r>
        <w:t>Diese Auffassung erweist sich als nicht haltbar. Anders als in dem von der Vorinstanz angeführten Fall 1C_39/2008, wo das Verwaltungsgericht (des Kantons Zürich) die Beschwerdelegitimation der Beschwerdeführerin verneinte und von einer materiellen Behandlung der Beschwerde absah, handelt es sich beim vorliegend angefochtenen Entscheid nicht um einen Nichteintretensentscheid als Prozessentscheid, sondern um einen Sachentscheid. Dieser ist als Ganzes erst anfechtbar, wenn auf kantonaler Ebene ein genehmigter Gestaltungsplan vorliegt (E. 1.2 und 1.4). Die Lösung der Vorinstanz würde dazu führen, dass die Beschwerdeführer zeitlich versetzt und getrennt nach Rügen (Nichteintreten respektive Abweisung) zwei Mal gegen den gleichen Entscheid Beschwerde an das Bundesgericht führen müssten und sich dieses zwei Mal mit der gleichen Streitsache zu befassen hätte. Ein solches Vorgehen erscheint weder sinnvoll noch praktikabel.</w:t>
      </w:r>
    </w:p>
    <w:p>
      <w:r>
        <w:rPr>
          <w:b/>
        </w:rPr>
        <w:t>E. 2</w:t>
      </w:r>
    </w:p>
    <w:p>
      <w:r>
        <w:t>Auf die Beschwerden ist folglich nicht einzutreten. Mit diesem Entscheid werden die Gesuche der Beschwerdeführer um Erlass vorsorglicher Massnahmen gegenstandslos.</w:t>
      </w:r>
    </w:p>
    <w:p>
      <w:r>
        <w:t>Aufgrund der falschen Rechtsmittelbelehrung der Vorinstanz konnten sich die Beschwerdeführer zur Beschwerdeführung veranlasst sehen. Es rechtfertigt sich daher, auf die Erhebung von Gerichtskosten zu verzichten (vgl. Art. 66 Abs. 1 und 4 BGG ) und die Vorinstanz dazu zu verpflichten, die Beschwerdeführer für das bundesgerichtliche Verfahren angemessen zu entschädigen ( Art. 68 Abs. 1 BGG ). Damit wird das Gesuch des Beschwerdeführers 2 um unentgeltliche Rechtspflege gegenstandslos; die Entschädigung ist seiner Rechtsvertreterin zuzusprechen. Die Beschwerdegegnerin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