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1C_28/2019 vom 23. Dezember 2019</w:t>
      </w:r>
    </w:p>
    <w:p>
      <w:r>
        <w:t>Bundesgericht, 2019-12-23, FR</w:t>
      </w:r>
    </w:p>
    <w:p>
      <w:r>
        <w:rPr>
          <w:b/>
        </w:rPr>
        <w:t xml:space="preserve">Quelle: </w:t>
      </w:r>
      <w:r>
        <w:t>https://mcp.opencaselaw.ch/entscheid/bger_1C_28_2019</w:t>
      </w:r>
    </w:p>
    <w:p>
      <w:r>
        <w:t>FR: TF 1C_28/2019 du 23 décembre 2019</w:t>
      </w:r>
    </w:p>
    <w:p>
      <w:r>
        <w:t>IT: TF 1C_28/2019 del 23 dicembre 2019</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La recourante s'est vu refuser un permis de construire sur sa parcelle, décision confirmée par les instances cantonales. Elle a qualité pour agir contre ce prononcé ( art. 89 al. 1 LTF ) et ses conclusions sont recevables au regard de l' art. 107 LTF . Il y a donc lieu d'entrer en matière.</w:t>
      </w:r>
    </w:p>
    <w:p>
      <w:r>
        <w:rPr>
          <w:b/>
        </w:rPr>
        <w:t>E. 2</w:t>
      </w:r>
    </w:p>
    <w:p>
      <w:r>
        <w:t>Se plaignant d'un établissement incomplet des faits, la recourante reproche à la cour cantonale d'avoir passé sous silence l'ensemble des faits antérieurs au 15 octobre 2015, en particulier le permis délivré en janvier 2006 dans lequel le projet était jugé conforme à la zone industrielle 1. En outre, deux séances des 19 mai et 30 septembre 2015 n'auraient pas été mentionnées, au cours desquelles aucune réserve n'avait été formulée quant à la conformité du projet à la zone, ce qui démontrerait que la commune s'en tenait jusque-là à sa pratique précédente. Une troisième séance avaient encore eu lieu en septembre 2016, durant laquelle la conformité à la zone n'avait pas non plus été évoquée. Ces faits seraient propres à remettre en cause l'intention de la commune de changer sa pratique, ainsi que la bonne foi de l'autorité. L'arrêt attaqué n'aurait pas non plus tenu compte du caractère mixte de la zone, comprenant des surfaces administratives et commerciales (dont l'une autorisée en 2012 encore), ce qui viendrait confirmer le grief d'inégalité de traitement.</w:t>
      </w:r>
    </w:p>
    <w:p>
      <w:r>
        <w:t>La recourante se plaint aussi d'une appréciation arbitraire des preuves. L'arrêt attaqué retient que la commune aurait clairement indiqué qu'elle entendait changer de pratique, alors que cela ne ressortirait ni de sa décision de refus (qui se fonde sur une pesée d'intérêts) ni de ses déterminations. Cette intention serait aussi contredite par l'attitude de la Ville de Sion (participation à diverses séances relatives aux aspects techniques et de densité), ce qui démontrerait qu'il n'y avait pas d'intention de changer de pratique au moment du dépôt de la demande d'autorisation de construire et que le refus serait simplement dirigé contre le projet de la recourante, considéré à tort comme un centre d'achats. La recourante relève ensuite que le RCCZ aurait fait l'objet de plusieurs interprétations successives et incompatibles en 2005, en 2016 et dans la procédure de recours en 2017, de sorte que le Tribunal cantonal ne pouvait retenir qu'il n'y avait aucune contradiction ou inconstance dans la motivation de l'autorité communale.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soit pour l'essentiel de façon arbitraire au sens de l' art. 9 Cst.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Pour qu'une partie puisse demander une rectification de l'état de fait cantonal, il faut encore que celle-ci soit susceptible d'influer sur le sort de la cause ( art. 97 al. 1 LTF ; ATF 142 I 135 consid. 1.6 p. 144 s.).</w:t>
      </w:r>
    </w:p>
    <w:p>
      <w:r>
        <w:rPr>
          <w:b/>
        </w:rPr>
        <w:t>E. 2.2</w:t>
      </w:r>
    </w:p>
    <w:p>
      <w:r>
        <w:t>L'existence d'un permis de construire délivré en 2005 est évoquée dans la partie en fait de l'arrêt attaqué (let. A, B in fine, C in fine) ainsi que dans les considérants en droit (consid. 3.3.3 et 4.3). La cour cantonale n'a pas manqué de relever la contradiction entre les deux décisions communales et s'est également prononcée sur les prétendues contradictions dans les motivations successives, jugeant celles-ci au contraire compatibles entre elles (consid. 3.3.4). S'agissant du changement de pratique instauré par la commune, il est consacré par la décision de refus du 6 octobre 2016. Quels qu'en soient les objets, les diverses séances intervenues auparavant ne pouvaient impliquer aucune assurance quant à la manière d'interpréter la réglementation (cf. consid. 7 ci-dessous). L'arrêt attaqué écarte ainsi à juste titre les offres de preuve tendant à établir la teneur des deux séances de 2015, jugeant ces éléments sans pertinence (consid. 1.3). La cour cantonale fait aussi mention d'une lettre du 25 novembre 2015 dans laquelle la commune faisait déjà état de l'incompatibilité du projet avec les prescriptions de la zone et le PDCn. Le préavis négatif du SDT du 8 août 2016 constitue également un élément essentiel sur ce point. L'arrêt attaqué passe ainsi en revue les différents éléments permettant de se prononcer sur l'intention de la commune de modifier sa pratique. Le fait que la zone en question présente déjà une certaine mixité est rappelé aux consid. 3.3.2 et 6.2 de l'arrêt attaqué, la cour cantonale ayant considéré à ce propos que la préexistence de bureaux et de commerces n'empêchait pas un changement de pratique et ne constituait pas une inégalité de traitement dans la mesure où il ne s'agissait pas d'activités comparables à celle que la recourante entend exercer. Les éléments de faits énoncés par la recourante se trouvent ainsi suffisamment évoqués dans l'arrêt attaqué.</w:t>
      </w:r>
    </w:p>
    <w:p>
      <w:r>
        <w:rPr>
          <w:b/>
        </w:rPr>
        <w:t>E. 2.3</w:t>
      </w:r>
    </w:p>
    <w:p>
      <w:r>
        <w:t>L'intention de la commune de changer sa pratique ressort en premier lieu de sa décision de refus de permis, dont les motifs font clairement apparaître que le projet est considéré comme non conforme à l'art. 95 RCCZ. L'arrêt attaqué reprend les griefs de la recourante quant à l'inconstance alléguée de la position communale, en particulier lors de la délivrance du permis de 2005 ou lors des discussions avec des cadres de l'administration communale (consid. 3.3.3 et 7.3); il considère que les changements de position de l'autorité ne sont pas déterminants au vu du changement de contexte et de législation. Il s'agit là d'une appréciation juridique que la recourante ne saurait remettre en cause par le biais d'un grief relatif à l'établissement des faits. Celui-ci doit être écarté.</w:t>
      </w:r>
    </w:p>
    <w:p>
      <w:r>
        <w:rPr>
          <w:b/>
        </w:rPr>
        <w:t>E. 3</w:t>
      </w:r>
    </w:p>
    <w:p>
      <w:r>
        <w:t>Sur le fond, la recourante se plaint d'une interprétation arbitraire de l'art. 95 RCCZ. Elle considère que le tiret figurant en regard de la zone industrielle 1 pour les bureaux et commerces signifierait que de telles activités peuvent y être admises en fonction des circonstances. Elle se fonde sur une interprétation historique (s'agissant de ce que le législateur communal aurait toujours voulu autoriser dans la zone en question et de ce qui y a été effectivement réalisé, conformément à la pratique antérieure), systématique (fondée sur les emplacements des autres tirets figurant sur le tableau des zones, soit la destination agricole dans les zones industrielles 1 et 2, la destination " industries " dans les zones de centre, collectifs, individuels et mixte, soit des affectations dont l'interdiction n'aurait aucun caractère d'évidence), littérale (la zone en question n'est pas " réservée " aux activités à fortes nuisances, mais celles-ci seraient simplement " admises ") et téléologique (le législateur ayant renoncé à inscrire "non" à l'endroit correspondant, préférant un tiret laissant une marge d'appréciation). L'arrêt attaqué serait en outre arbitraire dans son résultat car un simple tiret ne comporterait pas une densité normative et une clarté suffisantes pour justifier l'atteinte au droit de propriété.</w:t>
      </w:r>
    </w:p>
    <w:p>
      <w:r>
        <w:rPr>
          <w:b/>
        </w:rPr>
        <w:t>E. 3.1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p. 174 s. et les références). Dans ce contexte, le recourant est soumis aux exigences accrues de motivation de l' art. 106 al. 2 LTF .</w:t>
      </w:r>
    </w:p>
    <w:p>
      <w:r>
        <w:rPr>
          <w:b/>
        </w:rPr>
        <w:t>E. 3.2</w:t>
      </w:r>
    </w:p>
    <w:p>
      <w:r>
        <w:t>L'interprétation historique consiste à rechercher la volonté du législateur sur la base des travaux préparatoires ( ATF 145 I 183 consid 2.3). En l'occurrence, l'argumentation de la recourante se fonde sur l'ancienne réglementation de 1963 et sur les nombreuses activités qui ont été autorisées sur cette base, ainsi que sur la base du RCCZ de 1989. Un tel argument se rapporte au changement de pratique dont se plaint par ailleurs également la recourante, mais ne permet pas d'établir la volonté réelle de l'auteur du RCCZ de 1989. La recourante n'invoque d'ailleurs nullement les travaux préparatoires ayant abouti à l'adoption de ce règlement.</w:t>
      </w:r>
    </w:p>
    <w:p>
      <w:r>
        <w:t>La cour cantonale a tenu compte des éléments d'interprétation invoqués par le recourante. Elle les a qualifiés de " défendables " et a néanmoins confirmé l'appréciation des instances précédentes, rappelant en premier lieu à juste titre la réserve dont elle devait faire preuve dans l'interprétation des dispositions de droit communal. Elle a considéré que si le législateur communal avait voulu autoriser les commerces et bureaux en zone industrielle 1, il aurait mentionné un " oui ", le cas échéant sous certaines conditions comme cela était prévu pour la même affectation en zone industrielle 2 (cf. art. 95 ch. 5 let . c RCCZ). La différence de régime entre ces deux zones s'explique d'ailleurs par le fait que la zone industrielle 1 admet " les activités comportant de fortes nuisances et d'un impact qui est partout ailleurs trop fort pour le paysage urbain (art. 95 ch. 7 RCCZ), alors que la zone industrielle 2 admet " les activités comportant de faibles nuisances et d'un impact tolérable pour le paysage urbain " (art. 95 ch. 8 RCCZ). Le tiret est aussi utilisé pour exclure les industries des zones de centre et d'habitat, ainsi que l'agriculture dans les zones industrielles. Il n'y a évidemment rien d'arbitraire à considérer ces exclusions comme évidentes dans le cadre de la réglementation, quand bien même la recourante évoque des cas particuliers où des affectations auraient été tolérées, voire admises. D'un point de vue général et abstrait, les industries apparaissent incompatibles avec les zones vouées à l'habitation, de même que l'agriculture dans les zones industrielles. Il est pareillement justifié d'instaurer une incompatibilité entre l'industrie lourde, comportant de fortes nuisances, et des activités de bureaux et de commerces. L'interprétation des instances précédentes ne prête donc pas le flanc à la critique; elle apparaît même préférable à celle défendue par la recourante et ne saurait être qualifiée d'arbitraire.</w:t>
      </w:r>
    </w:p>
    <w:p>
      <w:r>
        <w:rPr>
          <w:b/>
        </w:rPr>
        <w:t>E. 3.3</w:t>
      </w:r>
    </w:p>
    <w:p>
      <w:r>
        <w:t>L'arrêt attaqué n'est pas non plus arbitraire dans son résultat puisqu'il consacre comme on le verra une interprétation davantage conforme au droit supérieur que la pratique antérieure dont se prévaut la recourante. Même si elle résulte d'un simple tiret apposé dans un tableau, l'atteinte au droit de propriété repose sur une base légale claire, soit sur les dispositions réglementaires sur la zone industrielle, interprétées de manière à tout le moins non arbitraire.</w:t>
      </w:r>
    </w:p>
    <w:p>
      <w:r>
        <w:rPr>
          <w:b/>
        </w:rPr>
        <w:t>E. 4</w:t>
      </w:r>
    </w:p>
    <w:p>
      <w:r>
        <w:t>La recourante conteste ensuite l'application de la fiche B.3/5 du PDCn. Elle rappelle que la planification directrice n'a pas force obligatoire pour les particuliers et qu'elle ne s'appliquerait pas à un magasin du type de celui qu'elle entend implanter, d'une taille limitée, consacré aux seules denrées alimentaires et ne présentant que quelque 1800 produits. La fiche B.3/5 correspondrait en outre pour l'essentiel à la précédente fiche (B.3/4) du PDCn prise en considération lors de l'octroi du permis de 2005. L'argument tiré des art. 1 et 3 LAT serait lui aussi inopérant puisqu'il ne s'agit que de principes généraux et que le projet respecte l'exigence d'utilisation mesurée du sol et de concentration de l'urbanisation vers l'intérieur.</w:t>
      </w:r>
    </w:p>
    <w:p>
      <w:r>
        <w:t>Ces arguments n'ont toutefois pas à être examiné dès lors que le refus du permis de construire pouvait à juste titre se fonder sur la seule application de la réglementation communale. Cela étant, la cour cantonale a rappelé la portée limitée d'un plan directeur cantonal dans le cadre de l'octroi d'une autorisation de construire, et relève que l'argument y relatif n'a été retenu que pour confirmer l'interprétation de la réglementation communale.</w:t>
      </w:r>
    </w:p>
    <w:p>
      <w:r>
        <w:rPr>
          <w:b/>
        </w:rPr>
        <w:t>E. 5</w:t>
      </w:r>
    </w:p>
    <w:p>
      <w:r>
        <w:t>La recourante soutient ensuite que le refus de l'autorité communale ne résulterait pas d'un changement de pratique, mais d'un simple changement d'attitude arbitraire ne reposant pas sur des motifs sérieux et pertinents. Les nouvelles dispositions de la LAT du 1er mai 2014 ne consacrent que des principes généraux qui seraient respectés par le projet. La commune n'aurait jamais clairement indiqué abandonner son ancienne pratique, son attitude durant les séances des 19 mai, 30 septembre 2015 et 7 septembre 2016 laissant penser que celle-ci serait au contraire maintenue.</w:t>
      </w:r>
    </w:p>
    <w:p>
      <w:r>
        <w:rPr>
          <w:b/>
        </w:rPr>
        <w:t>E. 5.1</w:t>
      </w:r>
    </w:p>
    <w:p>
      <w:r>
        <w:t>Un changement de pratique administrative ne se justifie, en principe, que lorsque la nouvelle solution procède d'une meilleure compréhension de la</w:t>
      </w:r>
    </w:p>
    <w:p>
      <w:r>
        <w:t>ratio legis , repose sur des circonstances de fait modifiées ou répond à l'évolution des conceptions juridiques; si tel n'est pas le cas, la pratique en cours doit être maintenue en vertu du principe de sécurité du droit. Un changement doit par conséquent reposer sur des motifs sérieux et objectifs qui, dans l'intérêt de la sécurité du droit, doivent être d'autant plus importants que la pratique considérée comme erronée, ou désormais inadaptée aux circonstances, est ancienne ( ATF 145 II 270 consid. 4.5.5 p. 281; 139 V 307 consid. 6.1 p. 313; 138 III 270 consid. 2.2.2 p. 273; 138 III 359 consid. 6.1 p. 361).</w:t>
      </w:r>
    </w:p>
    <w:p>
      <w:r>
        <w:rPr>
          <w:b/>
        </w:rPr>
        <w:t>E. 5.2</w:t>
      </w:r>
    </w:p>
    <w:p>
      <w:r>
        <w:t>Il est indéniable que l'autorité communale a changé sa pratique dès lors que le projet de la recourante, au même emplacement, avait fait l'objet d'un permis délivré en 2005 et prolongé à plusieurs reprises, sans aucune restriction quant à la conformité à la zone. Il est également possible que l'attitude de l'autorité ait semblé varier durant la seconde procédure d'autorisation de construire, à l'occasion de certaines séances. Il ressort toutefois clairement de la lettre du 25 novembre 2015 que le projet contrevenait aux prescriptions relatives à la zone industrielle, ainsi qu'aux principes du PDCn en raison de son implantation hors zone d'habitat ou de centre, de la mauvaise desserte en mobilité douce, de l'absence de desserte en transports publics, des problèmes liés au trafic automobile et du taux d'occupation du sol insuffisant. Comme cela est relevé ci-dessus, ce revirement par rapport au permis de 2005 est justifié par une meilleure interprétation des prescriptions relatives à la zone industrielle 1. Contrairement à ce que soutient la recourante, elle peut également se fonder sur les nouvelles dispositions de la LAT entrées en vigueur le 1er mai 2014, notamment la nécessité d'orienter l'urbanisation vers l'intérieur du milieu bâti en maintenant une qualité de l'habitat appropriée (art. 1 al. 2 let. a bis LAT). Cela implique notamment que le commerce de détail, en particulier les magasins d'alimentation, soient situés à proximité immédiate des habitations (PAUL DOMINIK HASLER, Redynamiser les centres de localité, VLP-ASPAN, Territoire &amp; Environnement, novembre 4/2015 p. 7 ss). Ce changement de pratique est ainsi justifié et le grief doit être écarté.</w:t>
      </w:r>
    </w:p>
    <w:p>
      <w:r>
        <w:rPr>
          <w:b/>
        </w:rPr>
        <w:t>E. 6</w:t>
      </w:r>
    </w:p>
    <w:p>
      <w:r>
        <w:t>La recourante se plaint encore d'inégalité de traitement en relevant que de nombreux commerces et bureaux auraient été autorisés dans la zone industrielle alors que les mêmes principes (en particulier la fiche B.3/5 du PDCn) leur étaient déjà applicables: elle mentionne un magasin Emaüs, un magasin de décoration et d'ameublement, une société de construction avec une surface commerciale, une assurance, une société de conseils financiers, un magasin de sport, ainsi que le complexe " Econopole " autorisé en 2012, comprenant des surfaces administratives et commerciales de 4'000 m² avec des commerces et bureaux, des complexes de bureaux ainsi que des restaurants et cafés et une salle de concerts. Contrairement à ce que retient la cour cantonale, ces exemples seraient assimilables pour l'essentiel à un centre d'achats et constitueraient tout autant des activités commerciales ou de bureaux au sens du RCCZ, certaines d'entre elles générant plus de trafic que le projet litigieux.</w:t>
      </w:r>
    </w:p>
    <w:p>
      <w:r>
        <w:rPr>
          <w:b/>
        </w:rPr>
        <w:t>E. 6.1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 ATF 141 I 153 consid. 5.1 p. 157; 140 I 77 consid. 5.1 p. 80; 137 V 334 consid. 6.2.1 p. 348; 134 I 23 consid. 9.1 p. 42).</w:t>
      </w:r>
    </w:p>
    <w:p>
      <w:r>
        <w:t>Le principe de la légalité de l'activité administrative (cf. art. 5 al. 1 Cst. ) prévaut sur celui de l'égalité de traitement ( ATF 126 V 390 consid. 6a p. 392). Le justiciable ne peut en règle générale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136 I 65 consid. 5.6 p. 78; 127 II 113 consid. 9 p. 121 et les références citées). Cette règle n'oblige pas pour autant les organes de la justice administrative à entreprendre des investigations systématiques, approfondies et contradictoires dans le but de découvrir d'hypothétiques manquements à la loi (arrêt 1C_265/2012 du 25 mars 2013 consid. 6). Et encore ne doit-il pas y avoir d'intérêt public prépondérant au respect de la légalité qui impose de donner la préférence à celle-ci au détriment de l'égalité de traitement ( ATF 123 II 248 consid. 3c p. 254; 115 Ia 81 consid. 2 p. 83 et les références citées). Il est en outre nécessaire que l'autorité n'ait pas respecté la loi, non pas dans un cas isolé, ni même dans plusieurs cas, mais selon une pratique constante ( ATF 132 II 485 consid. 8.6 p. 510).</w:t>
      </w:r>
    </w:p>
    <w:p>
      <w:r>
        <w:rPr>
          <w:b/>
        </w:rPr>
        <w:t>E. 6.2</w:t>
      </w:r>
    </w:p>
    <w:p>
      <w:r>
        <w:t>Comme le relève la cour cantonale, aucun des exemples mentionnés par la recourante ne concerne une surface commerciale comparable à celle qui est projetée: une surface commerciale vendant au détail des produits alimentaires, soit des biens de consommations journaliers non encombrants. Ce sont précisément ces caractéristiques qui ont dicté le choix de l'autorité communale, celle-ci considérant qu'un commerce de ce type devait se trouver dans les zones d'habitation afin notamment de ne pas générer de trafic inutile. Les bureaux ne sont manifestement pas destinés à attirer une clientèle nombreuse et les magasins mentionnés par la recourante ne peuvent être qualifiés de commerces de proximité. Mais surtout, comme le relève la cour cantonale, la recourante ne démontre pas que des commerces comparables auraient été autorisés après le changement de pratique de l'autorité communale. Dès lors que ce changement repose sur des motifs convaincants et que la commune a manifesté, et confirmé en procédure, son intention de s'y tenir à l'avenir, l'invocation du principe d'égalité de traitement tombe à faux.</w:t>
      </w:r>
    </w:p>
    <w:p>
      <w:r>
        <w:rPr>
          <w:b/>
        </w:rPr>
        <w:t>E. 6.3</w:t>
      </w:r>
    </w:p>
    <w:p>
      <w:r>
        <w:t>Pour les mêmes motifs, la recourante n'a pas droit à une égalité de traitement dans l'illégalité. Elle insiste sur le fait que les motifs retenus pour le changement de pratique pouvaient déjà l'être sous l'empire de l'ancienne réglementation. Cela ne change rien au fait déterminant qu'après une certaine période d'hésitation, l'autorité a désormais clairement manifesté son intention de persévérer dans son interprétation de la réglementation à l'égard des surfaces commerciales telles que celle que la recourante entend implanter (cf. ATF 136 I 65 consid. 5.6 p. 78; 127 II 113 consid. 9 p. 121 et les références citées).</w:t>
      </w:r>
    </w:p>
    <w:p>
      <w:r>
        <w:rPr>
          <w:b/>
        </w:rPr>
        <w:t>E. 7</w:t>
      </w:r>
    </w:p>
    <w:p>
      <w:r>
        <w:t>Dans un dernier grief, la recourante se plaint d'une violation du principe de protection de la bonne foi. Elle estime avoir reçu des promesses effectives découlant de l'octroi d'un permis pour un projet similaire et des assurances reçues lors des séances de 2015 et 2016 et émanant d'autorités compétentes ou supposées l'être. Ces promesses seraient dignes de foi et la recourante aurait pris des dispositions irréversibles sur cette base. Enfin, la situation de droit n'aurait pas changé, le RCCZ n'ayant pas été modifié depuis l'octroi du premier permis. La recourante estime par ailleurs qu'au vu de l'ensemble des décisions prises depuis le premier permis de construire, l'autorité communale aurait adopté un comportement contradictoire prohibé.</w:t>
      </w:r>
    </w:p>
    <w:p>
      <w:r>
        <w:rPr>
          <w:b/>
        </w:rPr>
        <w:t>E. 7.1</w:t>
      </w:r>
    </w:p>
    <w:p>
      <w:r>
        <w:t>Le principe de la bonne foi, ancré à l' art. 9 Cst. , protège le citoyen dans la confiance placée dans les assurances reçues des autorités (lorsqu'il règle sa conduite d'après les décisions, les déclarations ou le comportement de l'administration); un renseignement ou une décision erronés peuvent contraindre l'administration à consentir à l'administré un avantage contraire à la réglementation en vigueur; il faut alors que l'autorité soit intervenue dans une situation concrète envers une personne particulière, qu'elle ait agi, ou soit censée avoir agi, dans les limites de ses compétences, que l'administré n'ait pas pu immédiatement réaliser l'inexactitude de l'information obtenue, qu'il se soit fondé sur les assurances ou sur le comportement dont il se prévaut pour prendre des dispositions auxquelles il ne peut renoncer sans subir de préjudice et que la loi n'ait pas changé depuis le moment où l'assurance a été donnée ( ATF 143 V 95 consid. 3.6.2 p. 103; 141 V 530 consid. 6.2 p. 538; 137 II 182 consid. 3.6.2 p. 193 et les arrêts cités).</w:t>
      </w:r>
    </w:p>
    <w:p>
      <w:r>
        <w:rPr>
          <w:b/>
        </w:rPr>
        <w:t>E. 7.2</w:t>
      </w:r>
    </w:p>
    <w:p>
      <w:r>
        <w:t>La recourante ne saurait tirer aucun argument du permis qui lui a été accordé en 2005 et prolongé jusqu'en 2009. Celui-ci s'est en effet périmé faute d'avoir été utilisé dans les délais et l'ensemble des droits et prérogatives qui lui étaient attachés ont ainsi disparu. Les dispositions relatives à la caducité des autorisations de construire sont en effet fondées sur la considération qu'après un certain temps, les circonstances ayant présidé à l'octroi du permis peuvent avoir changé. Dès lors, même si elle portait sur un objet identique au premier, la nouvelle demande de permis de construire formée quelque dix ans plus tard devait faire l'objet d'un nouvel examen dans le cadre duquel l'autorité n'était pas liée par sa précédente décision. La recourante ne pouvait donc présumer de bonne foi que toute nouvelle demande concernant le même objet sera nécessairement admise. S'agissant de l'attitude des représentants de l'autorité durant les diverses séances et discussions menées avec la recourante, celle-ci ne pouvait en déduire des assurances quant à l'octroi d'une nouvelle autorisation de construire. Comme elle ne pouvait l'ignorer notamment en vertu du précédent permis, seul l'exécutif communal était compétent pour un tel octroi. La Ville de Sion a d'ailleurs officiellement communiqué à la recourante, le 25 novembre 2015 - soit un peu plus d'un mois après le dépôt de la demande - que le projet était incompatible avec les prescriptions de la zone industrielle. Il ne saurait cela étant être reproché aux services municipaux d'avoir instruit complètement la demande de permis en s'intéressant à tous les aspects du projet avant de statuer à son sujet.</w:t>
      </w:r>
    </w:p>
    <w:p>
      <w:r>
        <w:t>Compte tenu des réserves clairement exprimées par l'autorité compétente en début de procédure, la recourante ne pouvait déduire aucune assurance des diverses discussions intervenues avec les représentants des services communaux. Faute de toute promesse quant à l'octroi d'une autorisation de construire, le grief doit être écarté sans qu'il soit nécessaire d'examiner les autres conditions à une protection de la bonne foi.</w:t>
      </w:r>
    </w:p>
    <w:p>
      <w:r>
        <w:rPr>
          <w:b/>
        </w:rPr>
        <w:t>E. 8</w:t>
      </w:r>
    </w:p>
    <w:p>
      <w:r>
        <w:t>Sur le vu de ce qui précède, le recours est rejeté.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