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289/2022 vom 9. Juni 2022</w:t>
      </w:r>
    </w:p>
    <w:p>
      <w:r>
        <w:t>Bundesgericht, 2022-06-09, IT</w:t>
      </w:r>
    </w:p>
    <w:p>
      <w:r>
        <w:rPr>
          <w:b/>
        </w:rPr>
        <w:t xml:space="preserve">Quelle: </w:t>
      </w:r>
      <w:r>
        <w:t>https://mcp.opencaselaw.ch/entscheid/bger_1C_289_2022</w:t>
      </w:r>
    </w:p>
    <w:p>
      <w:r>
        <w:t>FR: TF 1C 289/2022 du 9 juin 2022</w:t>
      </w:r>
    </w:p>
    <w:p>
      <w:r>
        <w:t>IT: TF 1C 289/2022 del 9 giugno 2022</w:t>
      </w:r>
    </w:p>
    <w:p>
      <w:pPr>
        <w:pStyle w:val="Heading2"/>
      </w:pPr>
      <w:r>
        <w:t>Regeste</w:t>
      </w:r>
    </w:p>
    <w:p>
      <w:r>
        <w:t>Assistenza giudiziara internazionale in materia penale all'Italia | Assistenza giudiziaria e estradizione</w:t>
      </w:r>
    </w:p>
    <w:p>
      <w:pPr>
        <w:pStyle w:val="Heading2"/>
      </w:pPr>
      <w:r>
        <w:t>Erwägungen</w:t>
      </w:r>
    </w:p>
    <w:p>
      <w:r>
        <w:rPr>
          <w:b/>
        </w:rPr>
        <w:t>E. 1.1</w:t>
      </w:r>
    </w:p>
    <w:p>
      <w:r>
        <w:t>Contro le decisioni emanate nel campo dell'assistenza giudiziaria internazionale in materia penale il ricorso in materia di diritto pubblico, e non in maniera penale come erroneamente ritenuto dal ricorrente, è ammissibile soltanto se, come in concreto, concerne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adduce, quale fatto nuovo ( art. 99 cpv. 1 LTF ), che il 17 maggio 2022 il Ministero pubblico del Cantone Ticino gli ha comunicato d'aver emanato, il 22 aprile 2022, una decisione di entrata in materia, al suo dire fondata sugli stessi fatti, rilevando che potrebbe quindi insorgere il rischio di decisioni discordanti. L'assunto non regge. L'invocata decisione concerne infatti una rogatoria precedente del 2005, completata nel 2006 e nel 2020 e da ultimo il 12 novembre 2021 presentata dalla Sezione Prima Penale, Misure di Prevenzione del Tribunale di Palermo; essa si fonda su una decisione di sequestro di un conto di una fondazione adottata il 20 maggio 2020 dalla Corte d'Appello di Palermo in relazione alla collusione del ricorrente con sodalizi mafiosi. Spetterà al Tribunale di Palermo coordinare se del caso i diversi procedimenti penali e semmai alla CRP pronunciarsi sull'ammissibilità di quella rogatoria e dei suoi complementi. Contrariamente alla tesi ricorsuale, la sussistenza di due distinte rogatorie non costituisce una questione giuridica d'importanza fondamentale.</w:t>
      </w:r>
    </w:p>
    <w:p>
      <w:r>
        <w:rPr>
          <w:b/>
        </w:rPr>
        <w:t>E. 2.2</w:t>
      </w:r>
    </w:p>
    <w:p>
      <w:r>
        <w:t>Per il resto la decisione impugnata, che rispetta la costante prassi, non solleva problemi che imporrebbero un intervento del Tribunale federale. In effetti, le considerazioni della CRP riguardo all'esposto dei fatti indicato nella rogatoria, ampiamente descritto nel criticato giudizio, e al rispetto dei principi della doppia punibilità e della proporzionalità, in particolare all'utilità potenziale dei documenti litigiosi relativi a una relazione bancaria dell'imputato, non si scostano dalla costante prassi. Anche la criticata trasmissione di scritti, di natura commerciale, di un avvocato non diverge dalla prassi invalsa, ritenuto inoltre che il ricorrente neppure tenta di spiegare in quale altro ambito il legale sarebbe intervenuto come patrocinatore.</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