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1C_287/2013 vom 13. November 2013</w:t>
      </w:r>
    </w:p>
    <w:p>
      <w:r>
        <w:t>Bundesgericht, 2013-11-13, DE</w:t>
      </w:r>
    </w:p>
    <w:p>
      <w:r>
        <w:rPr>
          <w:b/>
        </w:rPr>
        <w:t xml:space="preserve">Quelle: </w:t>
      </w:r>
      <w:r>
        <w:t>https://mcp.opencaselaw.ch/entscheid/bger_1C_287_2013</w:t>
      </w:r>
    </w:p>
    <w:p>
      <w:r>
        <w:t>FR: TF 1C_287/2013 du 13 novembre 2013</w:t>
      </w:r>
    </w:p>
    <w:p>
      <w:r>
        <w:t>IT: TF 1C_287/2013 del 13 novembre 2013</w:t>
      </w:r>
    </w:p>
    <w:p>
      <w:pPr>
        <w:pStyle w:val="Heading2"/>
      </w:pPr>
      <w:r>
        <w:t>Erwägungen</w:t>
      </w:r>
    </w:p>
    <w:p>
      <w:r>
        <w:rPr>
          <w:b/>
        </w:rPr>
        <w:t>E. 1</w:t>
      </w:r>
    </w:p>
    <w:p>
      <w:r>
        <w:t>Die Beschwerden und die ihnen zugrunde liegenden Urteile des Verwaltungsgerichts betreffen dasselbe Bauvorhaben und es stellen sich im Wesentlichen dieselben Rechtsfragen. Es ist gerechtfertigt, die beiden Beschwerden in einem Urteil zu behandeln.</w:t>
      </w:r>
    </w:p>
    <w:p>
      <w:r>
        <w:rPr>
          <w:b/>
        </w:rPr>
        <w:t>E. 2</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Einsprache- und Beschwerdebefugnis der Beschwerdeführerin zu Unrecht verneint.</w:t>
      </w:r>
    </w:p>
    <w:p>
      <w:r>
        <w:rPr>
          <w:b/>
        </w:rPr>
        <w:t>E. 3</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hin aufzuheben sind.</w:t>
      </w:r>
    </w:p>
    <w:p>
      <w:r>
        <w:rPr>
          <w:b/>
        </w:rPr>
        <w:t>E. 4</w:t>
      </w:r>
    </w:p>
    <w:p>
      <w:r>
        <w:t>Wird ein Nichteintretensentscheid angefochten, kann das Bundesgericht in der Regel nicht selbst in der Sache entscheiden, sondern muss diese zu materieller Beurteilung an die Vorinstanz zurückweisen. Auf eine Rückweisung kann jedoch ausnahmsweise verzichtet werden, wenn das Durchlaufen der kantonalen Instanz eine leere zwecklose Formalität wäre (vgl. BGE 121 I 1 E. 5a/bb S. 11 mit Hinweisen).</w:t>
      </w:r>
    </w:p>
    <w:p>
      <w:r>
        <w:t>Vorliegend ist unstreitig, dass eine Baubewilligung für Zweitwohnungen Verfahrensgegenstand darstellt, und dass der 20 % Anteil in der Gemeinde überschritten ist. Damit steht bereits fest, dass die angefochtene Baubewilligung gegen Art. 75b BV verstösst. Die Beschwerdeführer haben (im Eventualantrag) die Aufhebung der Baubewilligung, und damit (sinngemäss) die Abweisung des Baugesuchs, beantragt. Der Beschwerdegegner und die Gemeinde haben sich diesem Antrag nicht wiedersetzt.</w:t>
      </w:r>
    </w:p>
    <w:p>
      <w:r>
        <w:t>Unter diesen Umständen erscheint es sinnvoll, in Gutheissung der Eventualanträge der Beschwerdeführer in der Sache zu entscheiden, d.h. die Baubewilligung und den Einspracheentscheid aufzuheben und das Baugesuch abzuweisen.</w:t>
      </w:r>
    </w:p>
    <w:p>
      <w:r>
        <w:rPr>
          <w:b/>
        </w:rPr>
        <w:t>E. 5</w:t>
      </w:r>
    </w:p>
    <w:p>
      <w:r>
        <w:t>Bei diesem Ausgang des Verfahrens obsiegen die Beschwerdeführer. Der private Beschwerdegegner wird daher kosten- und entschädigungspflichtig, und zwar sowohl für das bundesrechtliche Verfahren ( Art. 66 und 68 BGG ) als auch für das Verfahren vor Verwaltungsgericht ( Art. 66 und 68 Abs. 5 BGG ).</w:t>
      </w:r>
    </w:p>
    <w:p>
      <w:r>
        <w:t>Zwar hat der Beschwerdegegner weder vor Verwaltungsgericht noch vor Bundesgericht die Abweisung der Beschwerde beantragt. Er hat jedoch durch die Einreichung des Baugesuchs das Verfahren veranlasst und ist deshalb im vorliegenden Verfahren notwendigerweise Gegenpartei bzw. Beschwerdegegner; als solche trägt er grundsätzlich das Prozess- und Kostenrisiko ( BGE 123 V 156 E. 3c S. 158).</w:t>
      </w:r>
    </w:p>
    <w:p>
      <w:r>
        <w:t>Da die Beschwerdeführer weder vor Bundesgericht noch vor Verwaltungsgericht anwaltlich vertreten waren, haben sie praxisgemäss keinen Anspruch auf eine Parteientschädigung.</w:t>
      </w:r>
    </w:p>
    <w:p>
      <w:r>
        <w:t>Die Sache wird an die Gemeinde zurückgewiesen, um die Kosten des Baubewilligungs- und Einspracheverfahrens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