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1C_286/2018 vom 18. Juli 2018</w:t>
      </w:r>
    </w:p>
    <w:p>
      <w:r>
        <w:t>Bundesgericht, 2018-07-18, DE</w:t>
      </w:r>
    </w:p>
    <w:p>
      <w:r>
        <w:rPr>
          <w:b/>
        </w:rPr>
        <w:t xml:space="preserve">Quelle: </w:t>
      </w:r>
      <w:r>
        <w:t>https://mcp.opencaselaw.ch/entscheid/bger_1C_286_2018</w:t>
      </w:r>
    </w:p>
    <w:p>
      <w:r>
        <w:t>FR: TF 1C_286/2018 du 18 juillet 2018</w:t>
      </w:r>
    </w:p>
    <w:p>
      <w:r>
        <w:t>IT: TF 1C_286/2018 del 18 luglio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ein Sachgebiet, bei dem die Beschwerde nach Art. 84 Abs. 1 BGG insoweit zulässig ist. Im Lichte der dargelegten restriktiven Rechtsprechung kann jedoch kein besonders bedeutender Fall angenommen werden.</w:t>
      </w:r>
    </w:p>
    <w:p>
      <w:r>
        <w:t>Was die Beschwerdeführer (Beschwerde S. 5 f.) vorbringen, ist ungeeignet, einen solchen Fall darzutun. Die Vorinstanz hat sich mit ihren Einwänden einlässlich auseinandergesetzt. Es kann dahingestellt bleiben, ob die Beschwerdeführer, welche sich nicht in Bulgarien aufhalten, überhaupt schwere Mängel des bulgarischen Strafverfahrens nach Art. 2 IRSG rügen können. Jedenfalls ist es nicht zu beanstanden, wenn die Vorinstanz zum Schluss kommt, der Beschwerdeführer 2 habe den politischen Charakter des bulgarischen Strafverfahrens nicht darzutun vermocht und es bestünden keine Anhaltspunkte dafür, dass der ersuchende Staat die Rechtsmittelwege zur Durchsetzung der Garantien gemäss Art. 6 EMRK nicht gewähre (angefochtener Entscheid E. 4.5 f. S. 8 ff.). Auf die Erwägungen der Vorinstanz kann gemäss Art. 109 Abs. 3 BGG verwiesen werden. Rechtsfragen von grundsätzlicher Bedeutung stellen sich nicht. Auch sonst wie kommt der Angelegenheit keine aussergewöhnliche Tragweite zu. Für das Bundesgericht besteht deshalb kein Anlass, die Sache an die Hand zu nehmen.</w:t>
      </w:r>
    </w:p>
    <w:p>
      <w:r>
        <w:rPr>
          <w:b/>
        </w:rPr>
        <w:t>E. 2</w:t>
      </w:r>
    </w:p>
    <w:p>
      <w:r>
        <w:t>Die Beschwerde ist demnach unzulässig. 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