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1C_286/2013 vom 4. Oktober 2013</w:t>
      </w:r>
    </w:p>
    <w:p>
      <w:r>
        <w:t>Bundesgericht, 2013-10-04, DE</w:t>
      </w:r>
    </w:p>
    <w:p>
      <w:r>
        <w:rPr>
          <w:b/>
        </w:rPr>
        <w:t xml:space="preserve">Quelle: </w:t>
      </w:r>
      <w:r>
        <w:t>https://mcp.opencaselaw.ch/entscheid/bger_1C_286_2013</w:t>
      </w:r>
    </w:p>
    <w:p>
      <w:r>
        <w:t>FR: TF 1C_286/2013 du 4 octobre 2013</w:t>
      </w:r>
    </w:p>
    <w:p>
      <w:r>
        <w:t>IT: TF 1C_286/2013 del 4 ottobre 2013</w:t>
      </w:r>
    </w:p>
    <w:p>
      <w:pPr>
        <w:pStyle w:val="Heading2"/>
      </w:pPr>
      <w:r>
        <w:t>Erwägungen</w:t>
      </w:r>
    </w:p>
    <w:p>
      <w:r>
        <w:rPr>
          <w:b/>
        </w:rPr>
        <w:t>E. 1</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und die Gemeinde Filisur haben somit die Einsprachebefugnis der Beschwerdeführerin zu Unrecht verneint.</w:t>
      </w:r>
    </w:p>
    <w:p>
      <w:r>
        <w:rPr>
          <w:b/>
        </w:rPr>
        <w:t>E. 2</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aufzuheben sind.</w:t>
      </w:r>
    </w:p>
    <w:p>
      <w:r>
        <w:rPr>
          <w:b/>
        </w:rPr>
        <w:t>E. 3</w:t>
      </w:r>
    </w:p>
    <w:p>
      <w:r>
        <w:t>Die Beschwerde ist daher grundsätzlich gutzuheissen und der angefochtene Entscheid des Verwaltungsgerichts aufzuheben. Fraglich ist, ob die Sache an das Verwaltungsgericht oder (unter Mitaufhebung des Einsprache- und Baubewilligungsentscheids) an die Gemeinde zurückzuweisen ist ( Art. 107 Abs. 2 BGG ).</w:t>
      </w:r>
    </w:p>
    <w:p>
      <w:r>
        <w:t>Im vorliegenden Fall besteht die Besonderheit, dass noch zwei weitere Beschwerden gegen das Bauvorhaben vor Verwaltungsgericht hängig sind. Es erscheint sinnvoll, diese Verfahren mit dem Vorliegenden zu koordinieren. Dem Antrag auf Rückweisung an das Verwaltungsgericht ist daher zu entsprechen.</w:t>
      </w:r>
    </w:p>
    <w:p>
      <w:r>
        <w:rPr>
          <w:b/>
        </w:rPr>
        <w:t>E. 4</w:t>
      </w:r>
    </w:p>
    <w:p>
      <w:r>
        <w:t>Bei diesem Ausgang des Verfahrens obsiegt die Beschwerdeführerin; die privaten Beschwerdegegner werden daher kostenpflichtig ( Art 66 BGG ). Zwar haben sie weder vor Verwaltungsgericht (mangels Schriftenwechsels) noch vor Bundesgericht die Abweisung der Beschwerde beantragt. Sie haben jedoch durch die Einreichung des Baugesuchs das Verfahren veranlasst und sind deshalb im vorliegenden Verfahren notwendigerweise Gegenpartei bzw. Beschwerdegegner; als solche tragen sie grundsätzlich das Prozess- und Kostenrisiko ( BGE 123 V 156 E. 3c S. 158).</w:t>
      </w:r>
    </w:p>
    <w:p>
      <w:r>
        <w:t>Die Beschwerdeführerin war vor Bundesgericht nicht anwaltlich vertreten, weshalb sie praxisgemäss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