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1C_285/2012 vom 20. Februar 2013</w:t>
      </w:r>
    </w:p>
    <w:p>
      <w:r>
        <w:t>Bundesgericht, 2013-02-20, FR</w:t>
      </w:r>
    </w:p>
    <w:p>
      <w:r>
        <w:rPr>
          <w:b/>
        </w:rPr>
        <w:t xml:space="preserve">Quelle: </w:t>
      </w:r>
      <w:r>
        <w:t>https://mcp.opencaselaw.ch/entscheid/bger_1C_285_2012</w:t>
      </w:r>
    </w:p>
    <w:p>
      <w:r>
        <w:t>FR: TF 1C_285/2012 du 20 février 2013</w:t>
      </w:r>
    </w:p>
    <w:p>
      <w:r>
        <w:t>IT: TF 1C_285/2012 del 20 febbraio 2013</w:t>
      </w:r>
    </w:p>
    <w:p>
      <w:pPr>
        <w:pStyle w:val="Heading2"/>
      </w:pPr>
      <w:r>
        <w:t>Erwägungen</w:t>
      </w:r>
    </w:p>
    <w:p>
      <w:r>
        <w:rPr>
          <w:b/>
        </w:rPr>
        <w:t>E. 1</w:t>
      </w:r>
    </w:p>
    <w:p>
      <w:r>
        <w:t>L'arrêt attaqué concerne la mise en oeuvre d'une course de contrôle dans le cadre d'une procédure administrative relevant du droit de la circulation routière, soit une cause de droit public au sens de l' art. 82 let. a LTF . Le recours en matière de droit public est donc ouvert (arrêt 1C_47/2007 du 2 mai 2007 consid. 1). Le recourant a un intérêt digne de protection à obtenir l'annulation de l'arrêt du Tribunal cantonal qui confirme en dernière instance cantonale une décision l'astreignant à se soumettre à une course de contrôle afin de vérifier son aptitude à conduire un véhicule automobile. Sa qualité pour recourir au sens de l' art. 89 al. 1 LTF est à l'évidence donnée. Les autres conditions de recevabilité du recours en matière de droit public sont par ailleurs réunies.</w:t>
      </w:r>
    </w:p>
    <w:p>
      <w:r>
        <w:rPr>
          <w:b/>
        </w:rPr>
        <w:t>E. 2</w:t>
      </w:r>
    </w:p>
    <w:p>
      <w:r>
        <w:t>Le recourant reproche à la juridiction cantonale d'avoir violé le droit fédéral en confirmant l'obligation de se soumettre à une course de contrôle. Il conteste avoir commis une faute d'une certaine importance relative aux règles de la circulation routière. Selon lui, on ne peut lui reprocher qu'une banale inattention, à laquelle, de l'avis même des premiers juges, tout conducteur peut être sujet.</w:t>
      </w:r>
    </w:p>
    <w:p>
      <w:r>
        <w:rPr>
          <w:b/>
        </w:rPr>
        <w:t>E. 2.1</w:t>
      </w:r>
    </w:p>
    <w:p>
      <w:r>
        <w:t>Aux termes de l'art. 29 al. 1 de l'ordonnance réglant l'admission des personnes et des véhicules à la circulation routière (OAC; RS 741.51), dans sa teneur en vigueur depuis le 1er janvier 2005, l'autorité ordonne une course de contrôle pour déterminer les mesures à prendre si l'aptitude du conducteur à conduire un véhicule automobile soulève des doutes. Si la personne concernée ne réussit pas la course de contrôle, le permis de conduire lui sera retiré; elle peut alors demander un permis d'élève conducteur ( art. 29 al. 2 let. a OAC ). A côté des contrôles médicaux, des expertises médicales ou psychiatriques et des tests psycho-techniques,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Elle peut en particulier être ordonnée lorsque le comportement sur la route d'une personne d'un certain âge attire l'attention ( ATF 127 II 129 consid. 3 p. 130 ss; arrêt 6A.44/2006 du 4 septembre 2006 consid. 2.3.1 reproduit au JdT 2006 I 422). Il en va ainsi lorsque le comportement du conducteur relève d'une faute de circulation d'une certaine importance, qui peut entraîner des conséquences sur le plan pénal, soit en particulier conduire à une condamnation selon l' art. 90 LCR (arrêt 1C_110/2011 du 6 juin 2011 consid. 3.4). Les autorités disposent d'un pouvoir d'appréciation dont le Tribunal fédéral ne s'écarte qu'en cas d'excès ou d'abus de ce pouvoir ( ATF 127 II 129 consid. 3a p. 130).</w:t>
      </w:r>
    </w:p>
    <w:p>
      <w:r>
        <w:rPr>
          <w:b/>
        </w:rPr>
        <w:t>E. 2.2</w:t>
      </w:r>
    </w:p>
    <w:p>
      <w:r>
        <w:t>La juridiction cantonale a tenu les doutes sur l'aptitude du recourant à conduire un véhicule automobile pour établis sur la base des faits retenus dans le rapport de police du 12 septembre 2011. Le recourant avait provoqué un accident à la suite d'une inattention importante: arrêté à un signal "stop", il s'était engagé sur le carrefour sans faire apparemment usage d'un miroir apposé de l'autre côté de la route pour améliorer la visibilité et n'avait pas vu une voiture qui se trouvait presque devant lui au moment où il a démarré. Ce véhicule a effectué un tête à queue avant de terminer sa course 65 mètres plus loin dans un champ, subissant un dommage important.</w:t>
      </w:r>
    </w:p>
    <w:p>
      <w:r>
        <w:t>Compte tenu de ces circonstances, qu'il ne conteste pas en tant que telles, le recourant tente en vain de remettre en cause la gravité de la faute de circulation retenue contre lui. Dès lors qu'il n'a pas usé de toutes les précautions nécessaires au signal "stop" avant de s'engager dans le carrefour et provoqué une mise en danger du trafic, le recourant a commis une faute d'une certaine gravité, qui a mené à une condamnation pénale selon l' art. 90 al. 1 LCR (cf. ordonnance pénale du 7 octobre 2011). Si l'âge du conducteur ne constitue pas un motif qui suffirait à lui seul pour ordonner une course de contrôle (arrêt 1C_110/2011 du 6 juin 2011 consid. 3.3), l'inattention dont a fait preuve le recourant revêtait en l'espèce une gravité telle qu'elle soulevait des doutes au sujet de son aptitude à conduire; le fait que tout conducteur aurait pu faire la même erreur d'inattention, comme il le soutient, n'en réduit pas l'importance. Par ailleurs, au regard de l'absence de précaution suffisante, qui a entraîné une violation simple des règles de la circulation routière au sens de l' art. 90 al. 1 LCR , la situation est ici bien différente de celle dont le Tribunal fédéral a eu à juger dans l'arrêt 1C_110/2011, également cité par le recourant, où lors d'une tentative de parcage, le conducteur avait reculé sans prêter attention à une voiture se trouvant derrière lui, de sorte que le pare-choc de son véhicule avait légèrement touché celui de l'autre voiture. En conséquence, la décision d'imposer au recourant une course de contrôle aux fins de vérifier son aptitude à conduire un véhicule automobile reste dans les limites du pouvoir d'appréciation reconnu aux autorités cantonales et ne viole pas le droit fédéral.</w:t>
      </w:r>
    </w:p>
    <w:p>
      <w:r>
        <w:rPr>
          <w:b/>
        </w:rPr>
        <w:t>E. 3</w:t>
      </w:r>
    </w:p>
    <w:p>
      <w:r>
        <w:t>Il s'ensuit que le recours doit être rejeté.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