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284/2013 vom 3. Oktober 2013</w:t>
      </w:r>
    </w:p>
    <w:p>
      <w:r>
        <w:t>Bundesgericht, 2013-10-03, DE</w:t>
      </w:r>
    </w:p>
    <w:p>
      <w:r>
        <w:rPr>
          <w:b/>
        </w:rPr>
        <w:t xml:space="preserve">Quelle: </w:t>
      </w:r>
      <w:r>
        <w:t>https://mcp.opencaselaw.ch/entscheid/bger_1C_284_2013</w:t>
      </w:r>
    </w:p>
    <w:p>
      <w:r>
        <w:t>FR: TF 1C 284/2013 du 3 octobre 2013</w:t>
      </w:r>
    </w:p>
    <w:p>
      <w:r>
        <w:t>IT: TF 1C 284/2013 del 3 ottobre 2013</w:t>
      </w:r>
    </w:p>
    <w:p>
      <w:pPr>
        <w:pStyle w:val="Heading2"/>
      </w:pPr>
      <w:r>
        <w:t>Regeste</w:t>
      </w:r>
    </w:p>
    <w:p>
      <w:r>
        <w:t>Baueinsprache | Raumplanung und öffentliches Baurecht</w:t>
      </w:r>
    </w:p>
    <w:p>
      <w:pPr>
        <w:pStyle w:val="Heading2"/>
      </w:pPr>
      <w:r>
        <w:t>Erwägungen</w:t>
      </w:r>
    </w:p>
    <w:p>
      <w:r>
        <w:rPr>
          <w:b/>
        </w:rPr>
        <w:t>E. 1</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Graubünden hat somit die Einsprache- und Beschwerdebefugnis der Beschwerdeführerin zu Unrecht verneint.</w:t>
      </w:r>
    </w:p>
    <w:p>
      <w:r>
        <w:rPr>
          <w:b/>
        </w:rPr>
        <w:t>E. 2</w:t>
      </w:r>
    </w:p>
    <w:p>
      <w:r>
        <w:t>Das Verwaltungsgericht ging überdies davon aus, dass die neuen Verfassungsbestimmungen nicht anwendbar seien auf Baubewilligungen, die zwischen dem 11. März 2012 und dem 31. Dezember 2012 erstinstanzlich erteilt wurden ( Art. 197 Ziff. 9 Abs. 2 BV e contrario). 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2012 und dem 31. Dezember 2012 in den betroffenen Gemeinden erteilt wurden, auf Beschwerde aufzuheben sind.</w:t>
      </w:r>
    </w:p>
    <w:p>
      <w:r>
        <w:rPr>
          <w:b/>
        </w:rPr>
        <w:t>E. 3</w:t>
      </w:r>
    </w:p>
    <w:p>
      <w:r>
        <w:t>Nach dem Gesagten steht fest, dass der angefochtene Entscheid aufzuheben ist. Fraglich ist, ob die Sache an das Verwaltungsgericht oder - unter Mitaufhebung des Einspracheentscheids und der Baubewilligung - an die erste Instanz, d.h. an die Gemeinde Filisur, zurückzuweisen ist.</w:t>
      </w:r>
    </w:p>
    <w:p>
      <w:r>
        <w:rPr>
          <w:b/>
        </w:rPr>
        <w:t>E. 3.1</w:t>
      </w:r>
    </w:p>
    <w:p>
      <w:r>
        <w:t>Für letztere Lösung spricht der Umstand, dass die Gemeinde zu Unrecht auf die Einsprache der Helvetia Nostra nicht eingetreten ist, sich also noch nicht mit deren Einwänden befasst hat. Hinzu kommt, dass das Bauvorhaben in der ursprünglichen Form gegen Art. 75b BV verstösst und nicht bewilligt werden kann. Die Beschwerdegegnerin und die Gemeinde Filisur haben nie bestritten, dass es sich um ein Zweitwohnungsvorhaben handelte und dass in der Gemeinde Filisur bereits mehr als 20 % Zweitwohnungen bestehen. Zwar möchte die Beschwerdegegnerin das geplante Mehrfamilienhaus nunmehr mit Erstwohnungen oder bewirtschafteten Zweitwohnungen realisieren. Dies setzt jedoch Modifikationen des Baugesuchs voraus, zu denen der Helvetia Nostra im Einspracheverfahren das rechtliche Gehör gewährt werden muss.</w:t>
      </w:r>
    </w:p>
    <w:p>
      <w:r>
        <w:rPr>
          <w:b/>
        </w:rPr>
        <w:t>E. 3.2</w:t>
      </w:r>
    </w:p>
    <w:p>
      <w:r>
        <w:t>Unter diesen Umständen erscheint es sinnvoll, in Gutheissung des Eventualantrags der Beschwerdeführerin sowohl den Bau- und Einspracheentscheid als auch die Baubewilligung aufzuheben und die Sache an die Gemeinde zurückzuweisen. Will die Beschwerdegegnerin an ihrem Bauvorhaben festhalten, muss sie das Baugesuch mit den nötigen Angaben ergänzen. Verzichtet sie dagegen auf das Baugesuch, kann die Gemeinde Filisur einen Abschreibungsbeschluss erlassen und darin auch ihre Kosten neu verlegen.</w:t>
      </w:r>
    </w:p>
    <w:p>
      <w:r>
        <w:rPr>
          <w:b/>
        </w:rPr>
        <w:t>E. 4</w:t>
      </w:r>
    </w:p>
    <w:p>
      <w:r>
        <w:t>Bei diesem Ausgang des Verfahrens obsiegt die Beschwerdeführerin. Die Beschwerdegegnerin wird daher kostenpflichtig, und zwar sowohl für das bundesgerichtliche Verfahren ( Art. 66 BGG ), als auch für das Verfahren vor Verwaltungsgericht (Art. 67BGG). Zwar hat sie weder vor Verwaltungsgericht noch vor Bundesgericht die Abweisung der Beschwerde beantragt. Sie hat jedoch durch die Einreichung des Baugesuchs das Verfahren veranlasst und ist deshalb im vorliegenden Verfahren notwendigerweise Gegenpartei bzw. Beschwerdegegnerin; als solche trägt sie grundsätzlich das Prozess- und Kostenrisiko ( BGE 123 V 156 E. 3c S. 158). Im Übrigen hatte sie im Einspracheverfahren auf Nichteintreten, eventualiter Abweisung der Einsprache geschlossen. Da die Beschwerdeführerin weder vor Verwaltungsgericht noch vor Bundesgericht anwaltlich vertreten war, hat sie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