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1C_284/2011 vom 18. Juli 2011</w:t>
      </w:r>
    </w:p>
    <w:p>
      <w:r>
        <w:t>Bundesgericht, 2011-07-18, DE</w:t>
      </w:r>
    </w:p>
    <w:p>
      <w:r>
        <w:rPr>
          <w:b/>
        </w:rPr>
        <w:t xml:space="preserve">Quelle: </w:t>
      </w:r>
      <w:r>
        <w:t>https://mcp.opencaselaw.ch/entscheid/bger_1C_284_2011</w:t>
      </w:r>
    </w:p>
    <w:p>
      <w:r>
        <w:t>FR: TF 1C_284/2011 du 18 juillet 2011</w:t>
      </w:r>
    </w:p>
    <w:p>
      <w:r>
        <w:t>IT: TF 1C_284/2011 del 18 luglio 2011</w:t>
      </w:r>
    </w:p>
    <w:p>
      <w:pPr>
        <w:pStyle w:val="Heading2"/>
      </w:pPr>
      <w:r>
        <w:t>Erwägungen</w:t>
      </w:r>
    </w:p>
    <w:p>
      <w:r>
        <w:rPr>
          <w:b/>
        </w:rPr>
        <w:t>E. 1</w:t>
      </w:r>
    </w:p>
    <w:p>
      <w:r>
        <w:t>Die Beschwerdeführerin reicht dem Bundesgericht mit der Replik verschiedene bulgarische Entscheide ein. Sie bringt vor, es bestehe im Lichte dieser Entscheide die hohe Wahrscheinlichkeit, dass die bulgarische Strafuntersuchung, derentwegen um Rechtshilfe ersucht werde, eingestellt worden sei oder demnächst eingestellt werde.</w:t>
      </w:r>
    </w:p>
    <w:p>
      <w:r>
        <w:t>Die Beschwerdeführerin verweist zunächst auf eine Verfügung vom 14. Dezember 2010 des bulgarischen Staatsanwalts (Replikbeilage 1) und legt dar, damit sei die Untersuchung teilweise eingestellt worden. Diese Verfügung sei im Rechtsmittelverfahren von zwei Instanzen geschützt worden (Replikbeilage 2 und 3). Die Beschwerdeführerin macht somit selber nicht geltend, die bulgarische Untersuchung sei vollumfänglich eingestellt worden.</w:t>
      </w:r>
    </w:p>
    <w:p>
      <w:r>
        <w:t>Die Beschwerdeführerin nimmt sodann Bezug auf einen Entscheid des Appellationshofes Sofia vom 16. März 2011 (Replikbeilage 4). Sie führt aus, daraus gehe hervor, dass zahlreiche Angeschuldigte schon am 14. Juni 2010 wegen zahlreicher Delikte für nicht schuldig befunden worden seien. Die Beschwerdeführerin behauptet also nicht, alle Angeschuldigten seien wegen sämtlicher Delikte freigesprochen worden.</w:t>
      </w:r>
    </w:p>
    <w:p>
      <w:r>
        <w:t>Wie es sich damit im Einzelnen verhält, braucht hier nicht näher untersucht zu werden. Nach der bundesgerichtlichen Rechtsprechung ist es nicht Aufgabe der schweizerischen Behörden, derartige in der Zwischenzeit im ersuchenden Staat ergangene Entscheide zu interpretieren. Solange das Rechtshilfeersuchen nicht zurückgezogen worden ist, ist es zu vollziehen (Urteile 1C_357/2010 vom 28. September 2010 E. 1.2; 1C_559/2009 vom 11. Februar 2010 E. 1; 1A.218/2003 vom 17. Dezember 2003 E. 3.5).</w:t>
      </w:r>
    </w:p>
    <w:p>
      <w:r>
        <w:t>Die Beschwerdeführerin hätte ohne Weiteres die Möglichkeit gehabt, die zuständigen bulgarischen Behörden unter Hinweis auf die von ihr ins Recht gelegten Entscheide zum Rückzug des Rechtshilfeersuchens zu veranlassen. Die bulgarischen Behörden haben das Rechtshilfeersuchen jedoch nicht zurückgezogen. Damit ist es nach der dargelegten Rechtsprechung zu vollziehen. Für die von der Beschwerdeführerin in der Replik beantragten Weiterungen, insbesondere die Sistierung des bundesgerichtlichen Verfahrens, besteht kein Anlass. Zu beachten ist dabei auch das Gebot der raschen Erledigung gemäss Art. 17a Abs. 1 IRSG . Danach erledigt die zuständige Behörde die Ersuchen beförderlich. Sie entscheidet ohne Verzug. Diese Bestimmung gilt auch für das Bundesgericht (Urteil 1C_559/2009 vom 11. Februar 2010 E. 1 mit Hinweis).</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BGG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um ein Sachgebiet, bei dem die Beschwerde nach Art. 84 Abs. 1 BGG insoweit möglich ist. Entgegen der Auffassung der Beschwerdeführerin handelt es sich jedoch um keinen besonders bedeutenden Fall.</w:t>
      </w:r>
    </w:p>
    <w:p>
      <w:r>
        <w:t>Was sie vorbringt, ist nicht geeignet, einen solchen Fall darzutun. Die Vorinstanz hat sich mit ihren wesentlichen Einwänden auseinandergesetzt. Die vorinstanzlichen Erwägungen - auf die verwiesen werden kann - stützen sich auf die bundesgerichtliche Rechtsprechung und lassen keine Bundesrechtsverletzung erkennen. Dies gilt insbesondere, soweit die Vorinstanz die beidseitige Strafbarkeit bejaht und die Rechtshilfe als verhältnismässig beurteilt hat. Auch sonst wie ist der Fall nicht von aussergewöhnlicher Tragweite. Für das Bundesgericht besteht deshalb kein Anlass, die Sache an die Hand zu nehmen.</w:t>
      </w:r>
    </w:p>
    <w:p>
      <w:r>
        <w:rPr>
          <w:b/>
        </w:rPr>
        <w:t>E. 3</w:t>
      </w:r>
    </w:p>
    <w:p>
      <w:r>
        <w:t>Die Beschwerde ist danach unzulässig.</w:t>
      </w:r>
    </w:p>
    <w:p>
      <w:r>
        <w:t>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