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1C_283/2022 vom 20. Mai 2022</w:t>
      </w:r>
    </w:p>
    <w:p>
      <w:r>
        <w:t>Bundesgericht, 2022-05-20, DE</w:t>
      </w:r>
    </w:p>
    <w:p>
      <w:r>
        <w:rPr>
          <w:b/>
        </w:rPr>
        <w:t xml:space="preserve">Quelle: </w:t>
      </w:r>
      <w:r>
        <w:t>https://mcp.opencaselaw.ch/entscheid/bger_1C_283_2022</w:t>
      </w:r>
    </w:p>
    <w:p>
      <w:r>
        <w:t>FR: TF 1C_283/2022 du 20 mai 2022</w:t>
      </w:r>
    </w:p>
    <w:p>
      <w:r>
        <w:t>IT: TF 1C_283/2022 del 20 maggio 2022</w:t>
      </w:r>
    </w:p>
    <w:p>
      <w:pPr>
        <w:pStyle w:val="Heading2"/>
      </w:pPr>
      <w:r>
        <w:t>Erwägungen</w:t>
      </w:r>
    </w:p>
    <w:p>
      <w:r>
        <w:rPr>
          <w:b/>
        </w:rPr>
        <w:t>E. 1</w:t>
      </w:r>
    </w:p>
    <w:p>
      <w:r>
        <w:t>Der Regierungsrat des Kantons Basel-Landschaft trat mit Entscheid vom 15. März 2022 auf die Beschwerde von A.________ in Sachen Entzug des Fahrzeugausweises und der Kontrollschilder sowie Rechnungen der Motorfahrzeugkontrolle Basel-Landschaft infolge Fristversäumnis nicht ein. A.________ erhob dagegen am 23. März 2022 Beschwerde, welche das Kantonsgericht Basel-Landschaft mit Urteil vom 29. März 2022 abwies. Zur Begründung führte das Kantonsgericht zusammenfassend aus, der Beschwerdeführer habe in seiner Beschwerde einzig vorgebracht, der Regierungsrat sei auf seinen Einwand, die Duplik der Motorfahrzeugkontrolle sei verspätet eingereicht worden, nicht eingegangen. Der Regierungsrat sei zufolge Fristversäumnis auf die Beschwerde nicht eingetreten. Eine allfällige Nichteinhaltung der Frist zur Einreichung der Duplik durch die Motorfahrzeugkontrolle sei somit von vornherein nicht geeignet gewesen, im vorinstanzlichen Verfahren zu einem Verfahrensmangel zu führen. Somit habe der Regierungsrat auf die vom Beschwerdeführer geltend gemachte Fristversäumnis auch nicht eingehen müssen.</w:t>
      </w:r>
    </w:p>
    <w:p>
      <w:r>
        <w:rPr>
          <w:b/>
        </w:rPr>
        <w:t>E. 2</w:t>
      </w:r>
    </w:p>
    <w:p>
      <w:r>
        <w:t>A.________ führt mit Eingaben vom 26. April 2022 und 11. Mai 2022 Beschwerde in öffentlich-rechtlichen Angelegenheiten gegen das Urteil des Kantonsgerichts Basel-Landschaft.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Der Beschwerdeführer, der keinen zulässigen Beschwerdegrund nennt, setzt sich mit der Begründung des Kantonsgerichts, die zur Abweisung seiner Beschwerde führte, nicht auseinander. Er vermag mit seinen sachfremden Ausführungen nicht aufzuzeigen, inwiefern die Begründung des Kantonsgerichts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