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1C_283/2007 vom 20. Februar 2008</w:t>
      </w:r>
    </w:p>
    <w:p>
      <w:r>
        <w:t>Bundesgericht, 2008-02-20, FR</w:t>
      </w:r>
    </w:p>
    <w:p>
      <w:r>
        <w:rPr>
          <w:b/>
        </w:rPr>
        <w:t xml:space="preserve">Quelle: </w:t>
      </w:r>
      <w:r>
        <w:t>https://mcp.opencaselaw.ch/entscheid/bger_1C_283_2007</w:t>
      </w:r>
    </w:p>
    <w:p>
      <w:r>
        <w:t>FR: TF 1C_283/2007 du 20 février 2008</w:t>
      </w:r>
    </w:p>
    <w:p>
      <w:r>
        <w:t>IT: TF 1C_283/2007 del 20 febbraio 2008</w:t>
      </w:r>
    </w:p>
    <w:p>
      <w:pPr>
        <w:pStyle w:val="Heading2"/>
      </w:pPr>
      <w:r>
        <w:t>Erwägungen</w:t>
      </w:r>
    </w:p>
    <w:p>
      <w:r>
        <w:rPr>
          <w:b/>
        </w:rPr>
        <w:t>E. 1</w:t>
      </w:r>
    </w:p>
    <w:p>
      <w:r>
        <w:t>La décision attaquée peut faire l'objet d'un recours en matière de droit public ( art. 82 ss LTF ). La voie du recours constitutionnel, subsidiaire à celle du recours en matière de droit public, n'est donc pas ouverte ( art. 113 LTF ) .</w:t>
      </w:r>
    </w:p>
    <w:p>
      <w:r>
        <w:rPr>
          <w:b/>
        </w:rPr>
        <w:t>E. 2</w:t>
      </w:r>
    </w:p>
    <w:p>
      <w:r>
        <w:t>En vertu de l' art. 100 al. 1 LTF , applicable en l'espèce, le recours au Tribunal fédéral doit être déposé dans les 30 jours qui suivent la notification de l'expédition complète. L' art. 46 al. 1 LTF prévoit la suspension de ce délai pendant trois périodes de féries judiciaires, en particulier du 15 juillet au 15 août (let. b). Toutefois, aux termes de l' art. 46 al. 2 LTF , cette règle ne s'applique pas dans les procédures concernant l'octroi de l'effet suspensif et d'autres mesures provisionnelles, la poursuite pour effets de change et l'entraide pénale internationale. Il incombe au Tribunal fédéral d'examiner d'office si les recourants ont observé le délai de l' art. 100 al. 1 LTF . Il en irait ainsi dans l'hypothèse d'une suspension en vertu de l' art. 46 al. 1 let. b LTF , le délai ne courant pas avant le lendemain du dernier jour des féries (cf. art. 44 al. 1 LTF ). En revanche, en cas d'application de l' art. 46 al. 2 LTF , le recours devrait être déclaré tardif parce que déposé plus de 30 jours (en réalité 53 jours) après la notification de la décision attaquée.</w:t>
      </w:r>
    </w:p>
    <w:p>
      <w:r>
        <w:rPr>
          <w:b/>
        </w:rPr>
        <w:t>E. 2.1</w:t>
      </w:r>
    </w:p>
    <w:p>
      <w:r>
        <w:t>Il s'agit en l'espèce d'examiner si la décision du SELT du 21 juillet 2006, confirmée par le Tribunal administratif qui en a souligné le caractère provisoire, doit être qualifiée de "mesure provisionnelle" au sens de l' art. 46 al. 2 LTF .</w:t>
      </w:r>
    </w:p>
    <w:p>
      <w:r>
        <w:t>La nouvelle loi sur le Tribunal fédéral (LTF) emploie la notion de "mesures provisionnelles" ("vorsorgliche Massnahmen") non seulement à propos de l'exception à la règle de la suspension des délais durant les féries ( art. 46 al. 2 LTF ) mais également à l' art. 98 LTF ("Motifs de recours limités"). Le Message du Conseil fédéral (Message concernant la révision totale de l'organisation judiciaire fédérale, FF 2001 p. 4000 ss) définit ainsi cette notion: les mesures provisionnelles sont des "décisions à caractère temporaire qui règlent une situation juridique en attente d'une réglementation définitive au travers d'une décision principale ultérieure". Le Message distingue différentes catégories (mesures conservatoires, mesures de réglementation, mesures d'exécution anticipée, mesures procédurales telles que l'octroi de l'effet suspensif à un recours) et précise que "les mesures provisionnelles sont tantôt des décisions finales au sens de l' art. 85 LTF [actuel art. 90 LTF ] lorsqu'elles sont prises dans une procédure autonome, tantôt des décisions incidentes lorsqu'elles sont prononcées au cours d'une procédure conduisant à une décision finale ultérieure" (FF 2001 p. 4133 s.).</w:t>
      </w:r>
    </w:p>
    <w:p>
      <w:r>
        <w:t>Comme l'auteur du Message, le Tribunal fédéral considère que des mesures provisionnelles peuvent être ordonnées aussi bien dans une procédure autonome qu'à titre incident dans la procédure principale ( ATF 133 III 589 consid. 1 p. 590). En droit administratif, il est admis que des mesures provisionnelles, qui doivent régler une situation de manière provisoire, soient ordonnées dans une procédure accessoire, indépendante de celle qui aboutira à la décision principale (cf. notamment Isabelle Häner, Vorsorgliche Massnahmen im Verwaltungsverfahren und Verwaltungsprozess, RDS 116/1997 II p. 280 ss).</w:t>
      </w:r>
    </w:p>
    <w:p>
      <w:r>
        <w:rPr>
          <w:b/>
        </w:rPr>
        <w:t>E. 2.2</w:t>
      </w:r>
    </w:p>
    <w:p>
      <w:r>
        <w:t>Dans le cas particulier, les autorités cantonales ont mentionné l'obligation d'assainir l'installation litigieuse - la terrasse du café-restaurant -, à cause d'immissions de bruit excessives. La loi fédérale sur la protection de l'environnement (LPE; RS 814.01) règle à son art. 16 l'assainissement des anciennes installations. L' art. 16 al. 4 LPE permet aux autorités, en cas d'urgence, d'ordonner l'assainissement "à titre préventif" (dans le texte allemand: "vorsorglich").</w:t>
      </w:r>
    </w:p>
    <w:p>
      <w:r>
        <w:t>Comme le relève l'Office fédéral de l'environnement dans ses observations, il n'est pas certain que l' art. 16 LPE s'applique en l'espèce car le dossier ne permet pas, à première vue, de déterminer si l'installation litigieuse existait déjà, dans ses dimensions et mode d'exploitation actuels, avant l'entrée en vigueur de la loi fédérale sur la protection de l'environnement le 1er janvier 1985 (cf. notamment ATF 126 II 480 consid. 3a p. 483). Quoi qu'il en soit, même si l'installation, considérée comme nouvelle, n'est pas soumise à l'obligation d'assainir sur la base de l' art. 16 LPE , l'autorité compétente peut exiger a posteriori qu'elle respecte les exigences légales en matière de limitation des émissions ( art. 11 ss LPE ); il ne s'agit alors pas d'un assainissement stricto sensu mais plutôt d'une mise en conformité. Dans les deux hypothèses, il est concevable que des mesures provisionnelles soient prises avant la décision finale imposant le cas échéant au détenteur de l'installation la mise en oeuvre ou la réalisation des mesures destinées à garantir le respect des exigences des art. 11 ss LPE . Lorsque l' art. 16 LPE est applicable, l'alinéa 4 de cette disposition fournit une base légale claire aux mesures provisionnelles (cf. notamment ATF 120 Ib 89 consid. 4b p. 94; André Schrade/Heidi Wiestner, Kommentar zum Umweltschutzgesetz, Zurich 2001, n. 95 ss ad art. 16; Häner, op. cit., p. 311, 338).</w:t>
      </w:r>
    </w:p>
    <w:p>
      <w:r>
        <w:rPr>
          <w:b/>
        </w:rPr>
        <w:t>E. 2.3</w:t>
      </w:r>
    </w:p>
    <w:p>
      <w:r>
        <w:t>Dans la présente affaire, il résulte clairement de l'arrêt attaqué que la limitation de l'horaire d'exploitation imposée le 2 mai 2006 et prolongée par la décision du 21 juillet 2006 est une mesure provisoire avant une décision définitive. Il n'y a pas lieu d'examiner dans le détail, à ce stade, la réglementation du droit public cantonal pour l'assainissement ou la mise en conformité d'une installation produisant des immissions de bruit excessives. Il est possible que différentes autorités aient à se prononcer en vue de régler définitivement cette question: l'autorité cantonale chargée de la police du commerce (le département auquel est rattaché le SELT), l'autorité cantonale chargée spécialement de la protection de l'environnement (le département auquel est rattaché le SEVEN) ainsi que l'autorité communale responsable de l'utilisation du domaine public. Quoi qu'il en soit, il importe peu de savoir comment il sera mis un terme à cette procédure. Il suffit en effet de constater que, pour les autorités cantonales, la mesure litigieuse est destinée à régler provisoirement la situation dans l'attente d'une décision finale sur le projet d'agrandissement de la terrasse avec travaux d'assainissement (selon ce qui est indiqué dans la décision du SELT du 21 juillet 2006). Il s'agit donc clairement d'une mesure provisionnelle. En conséquence, pour être recevable, le recours au Tribunal fédéral aurait dû être déposé dans les 30 jours dès la notification de l'arrêt attaqué, le délai de recours n'étant pas suspendu durant les féries en vertu de l' art. 46 al. 2 LTF .</w:t>
      </w:r>
    </w:p>
    <w:p>
      <w:r>
        <w:rPr>
          <w:b/>
        </w:rPr>
        <w:t>E. 2.4</w:t>
      </w:r>
    </w:p>
    <w:p>
      <w:r>
        <w:t>Dès lors qu'il n'est pas douteux que la restriction d'horaire litigieuse est une mesure provisionnelle, et par conséquent que l' art. 46 al. 2 LTF est applicable en pareil cas, les règles de la bonne foi n'imposent pas d'entrer en matière nonobstant le caractère tardif du recours. La situation juridique est en effet suffisamment claire (contrairement à la situation examinée dans l'arrêt publié aux ATF 133 I 270 consid. 1.2 p. 273-275, où le Tribunal fédéral a jugé l' art. 46 al. 2 LTF applicable en cas de recours contre la mise en détention préventive, tout en laissant indécise la question de savoir s'il s'agissait d'une mesure provisionnelle). Il s'ensuit que le recours, déposé après l'échéance du délai de l' art. 100 al. 1 LTF , est irrecevable.</w:t>
      </w:r>
    </w:p>
    <w:p>
      <w:r>
        <w:rPr>
          <w:b/>
        </w:rPr>
        <w:t>E. 3</w:t>
      </w:r>
    </w:p>
    <w:p>
      <w:r>
        <w:t>Les recourants, qui succombent, doivent supporter les frais judiciaires (art. 65 al. 1 et 66 al. 1 LTF). Ils auront en outre à prendre en charge les dépens alloués à l'intimé C.________ ( art. 68 al. 1 et 2 LTF ). Ni la commune de Lutry, ni l'administration cantonale n'ont en revanche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