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281/2022 vom 31. Mai 2022</w:t>
      </w:r>
    </w:p>
    <w:p>
      <w:r>
        <w:t>Bundesgericht, 2022-05-31, DE</w:t>
      </w:r>
    </w:p>
    <w:p>
      <w:r>
        <w:rPr>
          <w:b/>
        </w:rPr>
        <w:t xml:space="preserve">Quelle: </w:t>
      </w:r>
      <w:r>
        <w:t>https://mcp.opencaselaw.ch/entscheid/bger_1C_281_2022</w:t>
      </w:r>
    </w:p>
    <w:p>
      <w:r>
        <w:t>FR: TF 1C 281/2022 du 31 mai 2022</w:t>
      </w:r>
    </w:p>
    <w:p>
      <w:r>
        <w:t>IT: TF 1C 281/2022 del 31 maggio 2022</w:t>
      </w:r>
    </w:p>
    <w:p>
      <w:pPr>
        <w:pStyle w:val="Heading2"/>
      </w:pPr>
      <w:r>
        <w:t>Regeste</w:t>
      </w:r>
    </w:p>
    <w:p>
      <w:r>
        <w:t>Ermächtigung | Strafprozess</w:t>
      </w:r>
    </w:p>
    <w:p>
      <w:pPr>
        <w:pStyle w:val="Heading2"/>
      </w:pPr>
      <w:r>
        <w:t>Erwägungen</w:t>
      </w:r>
    </w:p>
    <w:p>
      <w:r>
        <w:rPr>
          <w:b/>
        </w:rPr>
        <w:t>E. 1</w:t>
      </w:r>
    </w:p>
    <w:p>
      <w:r>
        <w:t>Die Staatsanwaltschaft Zürich-Limmat überwies mit Verfügung vom 28. Januar 2022 der III. Strafkammer des Obergerichts des Kantons Zürich die Strafanzeige von einem "A.________" gegen unbekannte Mitarbeiter der Stadtpolizei Zürich betreffend Diebstahl etc. zum Entscheid über die Ermächtigung zur Durchführung einer Strafuntersuchung. Die III. Strafkammer des Obergerichts des Kantons Zürich erteilte mit Beschluss vom 8. April 2022 der Staatsanwaltschaft die Ermächtigung zur Strafverfolgung nicht. Zur Begründung führte sie zusammenfassend aus, dass der Anzeiger in seiner Strafanzeige lediglich pauschal geltend mache, er hätte am 14. September 2021 auf dem "Stadtpolizeiposten HQ, Zürich" von "Mitarbeitern der Stadtpolizei Diebstahl, Misshandlungen verschiedener Art usw." erfahren. Welches Verhalten er den Angezeigten konkret vorwerfe, gehe aus seiner nur wenige Zeilen umfassenden Strafanzeige jedoch nicht hervor. Mithin sei nicht ersichtlich, inwiefern sich die Angezeigten in strafrechtlich relevanter Weise verhalten haben sollten. Ein Anfangsverdacht auf strafbare Vorkommnisse sei nicht auszumachen.</w:t>
      </w:r>
    </w:p>
    <w:p>
      <w:r>
        <w:rPr>
          <w:b/>
        </w:rPr>
        <w:t>E. 2</w:t>
      </w:r>
    </w:p>
    <w:p>
      <w:r>
        <w:t>A.________ führt mit Eingabe vom 12. Mai 2022 Beschwerde in öffentlich-rechtlichen Angelegenheiten gegen den Beschluss der III. Strafkammer des Obergerichts des Kantons Zürich vom 8. April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der keinen zulässigen Beschwerdegrund nennt, vermag mit seinen Ausführungen nicht konkret aufzuzeigen, dass die III. Strafkammer Recht im Sinne von Art. 42 Abs. 2 BGG verletzt hätte, als sie die Ermächtigung zur Strafverfolgung verweigerte. Aus seinen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