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1C_280/2025 vom 27. Mai 2025</w:t>
      </w:r>
    </w:p>
    <w:p>
      <w:r>
        <w:t>Bundesgericht, 2025-05-27, DE</w:t>
      </w:r>
    </w:p>
    <w:p>
      <w:r>
        <w:rPr>
          <w:b/>
        </w:rPr>
        <w:t xml:space="preserve">Quelle: </w:t>
      </w:r>
      <w:r>
        <w:t>https://mcp.opencaselaw.ch/entscheid/bger_1C_280_2025</w:t>
      </w:r>
    </w:p>
    <w:p>
      <w:r>
        <w:t>FR: TF 1C_280/2025 du 27 mai 2025</w:t>
      </w:r>
    </w:p>
    <w:p>
      <w:r>
        <w:t>IT: TF 1C_280/2025 del 27 maggio 2025</w:t>
      </w:r>
    </w:p>
    <w:p>
      <w:pPr>
        <w:pStyle w:val="Heading2"/>
      </w:pPr>
      <w:r>
        <w:t>Erwägungen</w:t>
      </w:r>
    </w:p>
    <w:p>
      <w:r>
        <w:rPr>
          <w:b/>
        </w:rPr>
        <w:t>E. 1</w:t>
      </w:r>
    </w:p>
    <w:p>
      <w:r>
        <w:t>Mit Schreiben vom 9. Dezember 2024 ersuchte das italienische Justizministerium die Schweiz gestützt auf den Haftbefehl des Tribunale Ordinario di Milano vom 3. Mai 2024 um Verhaftung und Auslieferung des türkischen Staatsangehörigen A.________. A.________ wurde am 14. Januar 2025 in der Schweiz festgenommen. Mit Auslieferungsentscheid vom 24. Februar 2025 bewilligte das Bundesamt für Justiz die Auslieferung für die dem Auslieferungsersuchen zugrunde liegenden Straftaten. Eine von A.________ dagegen erhobene Beschwerde wies das Bundesstrafgericht mit Entscheid vom 7. Mai 2025 ab. Auch dessen akzessorisches Haftentlassungsgesuch wies es ab.</w:t>
      </w:r>
    </w:p>
    <w:p>
      <w:r>
        <w:rPr>
          <w:b/>
        </w:rPr>
        <w:t>E. 2</w:t>
      </w:r>
    </w:p>
    <w:p>
      <w:r>
        <w:t>Mit Beschwerde in öffentlich-rechtlichen Angelegenheiten an das Bundesgericht vom 23. Mai 2025 beantragt A.________, der Entscheid des Bundesstrafgerichts sei aufzuheben und von einer Auslieferung nach Italien abzusehen. Zudem sei er aus der Haft zu entlassen.</w:t>
      </w:r>
    </w:p>
    <w:p>
      <w:r>
        <w:t>Es wurde kein Schriftenwechsel durchgeführt.</w:t>
      </w:r>
    </w:p>
    <w:p>
      <w:r>
        <w:rPr>
          <w:b/>
        </w:rPr>
        <w:t>E. 3</w:t>
      </w:r>
    </w:p>
    <w:p>
      <w:r>
        <w:t>Gemäss Art. 84 Abs. 1 BGG ist gegen einen Entscheid auf dem Gebiet der internationalen Rechtshilfe in Strafsachen die Beschwerde nur zulässig, wenn es sich um einen besonders bedeutenden Fall handelt. Nach Art. 42 Abs. 2 BGG muss ausgeführt werden, warum diese Voraussetzung erfüllt ist. Der Beschwerdeführer tut dies jedoch nicht. Darüber hinaus setzt er sich auch nicht in substanziierter Weise mit dem angefochtenen Entscheid auseinander. Auch in dieser Hinsicht genügt die Beschwerde den Begründungsanforderungen von Art. 42 Abs. 2 BGG nicht.</w:t>
      </w:r>
    </w:p>
    <w:p>
      <w:r>
        <w:rPr>
          <w:b/>
        </w:rPr>
        <w:t>E. 4</w:t>
      </w:r>
    </w:p>
    <w:p>
      <w:r>
        <w:t>Weil die Unzulässigkeit der Beschwerde offensichtlich ist, ist darauf im vereinfachten Verfahren nach Art. 108 BGG nicht einzutreten.</w:t>
      </w:r>
    </w:p>
    <w:p>
      <w:r>
        <w:t>Bei diesem Verfahrensausgang sind dem Beschwerdeführer die Gerichtskosten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