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1C_279/2021 vom 20. Mai 2021</w:t>
      </w:r>
    </w:p>
    <w:p>
      <w:r>
        <w:t>Bundesgericht, 2021-05-20, DE</w:t>
      </w:r>
    </w:p>
    <w:p>
      <w:r>
        <w:rPr>
          <w:b/>
        </w:rPr>
        <w:t xml:space="preserve">Quelle: </w:t>
      </w:r>
      <w:r>
        <w:t>https://mcp.opencaselaw.ch/entscheid/bger_1C_279_2021</w:t>
      </w:r>
    </w:p>
    <w:p>
      <w:r>
        <w:t>FR: TF 1C_279/2021 du 20 mai 2021</w:t>
      </w:r>
    </w:p>
    <w:p>
      <w:r>
        <w:t>IT: TF 1C_279/2021 del 20 maggio 2021</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vorliegt, so ist auszuführen, warum diese Voraussetzung erfüllt ist ( BGE 145 IV 99 E. 1.5 S. 107 mit Hinweisen).</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Gemäss Art. 93 Abs. 2 BGG sind auf dem Gebiet der internationalen Rechtshilfe in Strafsachen Zwischenentscheide nicht anfechtbar. Vorbehalten bleiben Beschwerden gegen Entscheide unter anderem über die Auslieferungshaft, sofern die Voraussetzungen von Abs. 1 erfüllt sind. Da ein erlittener Freiheitsentzug nicht mehr rückgängig gemacht werden kann, trifft dies zu ( BGE 136 IV 20 E. 1.1 S. 22). Auch ein Entscheid über die Auslieferungshaft ist jedoch nur anfechtbar, wenn ein besonders bedeutender Fall nach Art. 84 BGG gegeben ist ( BGE 136 IV 20 E. 1.2 S. 22 mit Hinweisen).</w:t>
      </w:r>
    </w:p>
    <w:p>
      <w:r>
        <w:rPr>
          <w:b/>
        </w:rPr>
        <w:t>E. 1.3</w:t>
      </w:r>
    </w:p>
    <w:p>
      <w:r>
        <w:t>Der Beschwerdeführer ist der Auffassung, es liege ein besonders bedeutender Fall vor, weil er erstens mit seiner Gesellschaft eine strategisch wichtige Rolle für die russische Regierung spiele, weil zweitens der Verdacht bestehe, dass die US-Behörden Beweise illegal beschafft hätten, weil drittens der Haftbefehl des District Court of Massachusetts vom 19. März 2021 in Wirklichkeit nicht existiere und weil viertens das Bundesstrafgericht in Abweichung von der Rechtsprechung des Bundesgerichts keine Ersatzmassnahmen angeordnet habe.</w:t>
      </w:r>
    </w:p>
    <w:p>
      <w:r>
        <w:t>Die angeblich strategische Bedeutung, die der Beschwerdeführer sich selbst und seiner Gesellschaft für die russische Regierung beimisst, reicht allein nicht aus, um einen besonders bedeutenden Fall anzunehmen (vgl. Urteil 1C_356/2016 vom 12. September 2016 E. 1.2 mit Hinweisen). Der Vorwurf der illegalen Beschaffung von Beweismitteln durch den ersuchenden Staat ist nur insoweit zu prüfen, als auf die offensichtliche Unzulässigkeit der Auslieferung geschlossen werden könnte ( Art. 51 Abs. 1 IRSG [SR 351.1]; Urteil 8G.6/1998 vom 25. Februar 1998 E. 3e mit Hinweisen). Dies ist zu verneinen. Das Bundesstrafgericht hat den Beschwerdeführer in dieser Hinsicht zu Recht darauf hingewiesen, er habe die entsprechenden Einwände im Auslieferungsverfahren geltend zu machen. Weiter hat der Antrag der USA auf vorläufige Auslieferungshaft gemäss Art. 13 Abs. 2 lit. b des Auslieferungsvertrags vom 14. November 1990 zwischen der Schweizerischen Eidgenossenschaft und den Vereinigten Staaten von Amerika (SR 0.353.933.6) lediglich anzugeben, dass ein Haftbefehl vorliegt. Der Umstand, dass der Haftbefehl des District Court of Massachusetts vom 19. März 2021, auf den sich der Auslieferungshaftbefehl des BJ stützt, dem Ersuchen nicht beigelegt wurde, führt somit nicht zur Unrechtmässigkeit der Haft. Zudem besteht ein weiterer Haftbefehl desselben District Courts gegen den Beschwerdeführer, datierend vom 6. April 2021, den dieser dem Bundesgericht eigens eingereicht hat. Der angefochtene Entscheid enthält im Übrigen zu dieser Frage keine Ausführungen und der Beschwerdeführer behauptet nicht, diesen angeblichen Mangel vor dem Bundesstrafgericht geltend gemacht zu haben. Schliesslich hat sich das Bundesstrafgericht mit den vom Beschwerdeführer vorgeschlagenen Ersatzmassnahmen für Auslieferungshaft auseinandergesetzt. Dass es die Fluchtgefahr als erheblich einstufte und Ersatzmassnahmen als ungenügend bezeichnete, lässt weder eine Abweichung von der bundesgerichtlichen Rechtsprechung noch eine Verletzung elementarer Verfahrensgrundsätze (im Sinne von Art. 84 Abs. 2 BGG ) erkennen.</w:t>
      </w:r>
    </w:p>
    <w:p>
      <w:r>
        <w:t>Für das Bundesgericht besteht daher kein Anlass, die Sache an die Hand zu nehmen.</w:t>
      </w:r>
    </w:p>
    <w:p>
      <w:r>
        <w:rPr>
          <w:b/>
        </w:rPr>
        <w:t>E. 2</w:t>
      </w:r>
    </w:p>
    <w:p>
      <w:r>
        <w:t>Auf die Beschwerde ist nicht einzutreten.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