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1C_279/2019 vom 9. April 2020</w:t>
      </w:r>
    </w:p>
    <w:p>
      <w:r>
        <w:t>Bundesgericht, 2020-04-09, FR</w:t>
      </w:r>
    </w:p>
    <w:p>
      <w:r>
        <w:rPr>
          <w:b/>
        </w:rPr>
        <w:t xml:space="preserve">Quelle: </w:t>
      </w:r>
      <w:r>
        <w:t>https://mcp.opencaselaw.ch/entscheid/bger_1C_279_2019</w:t>
      </w:r>
    </w:p>
    <w:p>
      <w:r>
        <w:t>FR: TF 1C_279/2019 du 9 avril 2020</w:t>
      </w:r>
    </w:p>
    <w:p>
      <w:r>
        <w:t>IT: TF 1C_279/2019 del 9 aprile 2020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La Municipalité de Vufflens-le-Château, qui fait valoir une violation de l'autonomie dont elle bénéficie en matière d'aménagement du territoire, a qualité pour agir en vertu de l' art. 89 al. 2 let . c LTF. La question de savoir si elle est réellement autonome dans ce domaine relève du fond ( ATF 135 I 43 consid. 1.2 p. 45 et les arrêts cités).</w:t>
      </w:r>
    </w:p>
    <w:p>
      <w:r>
        <w:t>Les autres conditions de recevabilité du recours en matière de droit public sont réunies, si bien qu'il y a lieu d'entrer en matière sur le fond.</w:t>
      </w:r>
    </w:p>
    <w:p>
      <w:r>
        <w:rPr>
          <w:b/>
        </w:rPr>
        <w:t>E. 2</w:t>
      </w:r>
    </w:p>
    <w:p>
      <w:r>
        <w:t>(cf. plan des raccordements daté du 16 mars 2018) selon l'art. 17 RPAPC.</w:t>
      </w:r>
    </w:p>
    <w:p>
      <w:r>
        <w:t>Dans ces circonstances, en refusant d'autoriser le projet litigieux, l'instance précédente n'a pas violé l'autonomie de la commune recourante.</w:t>
      </w:r>
    </w:p>
    <w:p>
      <w:r>
        <w:rPr>
          <w:b/>
        </w:rPr>
        <w:t>E. 2.1.1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 arrêt 1C_645/2017 du 19 décembre 2018 consid. 4.1.1).</w:t>
      </w:r>
    </w:p>
    <w:p>
      <w:r>
        <w:rPr>
          <w:b/>
        </w:rPr>
        <w:t>E. 2.1.2</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arrêts 1C_365/2010 du 18 janvier 2011 consid. 2, in Pra 2011 n° 60 p. 428; 1P.167/2003 du 3 juillet 2003 consid. 3 publié in RDAF 2004 p. 114). Cela ressort en particulier de l'art. 2 al. 1 de la loi cantonale sur l'aménagement du territoire et les constructions du 4 décembre 1985 (LATC; RSV 700.11), dans sa version en vigueur jusqu'au 31 août 2018, selon lequel l'Etat laisse aux communes la liberté d'appréciation nécessaire à l'accomplissement de leurs tâches.</w:t>
      </w:r>
    </w:p>
    <w:p>
      <w:r>
        <w:t>Le droit cantonal ne règle pas précisément la problématique de la surface minimale d'une parcelle. En revanche, il prévoit que l'aire forestière n'entre pas dans le calcul des coefficients d'occupation et d'utilisation du sol (art. 48 al. 3 LATC en lien avec l'art. 54 LATC - tous deux dans la version en vigueur jusqu'au 31 août 2018 -; cf. art. 136 LATC (droit transitoire) en vigueur depuis le 1</w:t>
      </w:r>
    </w:p>
    <w:p>
      <w:r>
        <w:t>er septembre 2018; cf. également BOVAY/DIDISHEIM/SULLIGER/ THONNEY, Droit fédéral et vaudois de la constructions, 2010, n. 4.2 ad art. 48 LATC). Cela étant, on peut admettre, dans la limite de la détermination du COS et du CUS, que les communes bénéficient d'une autonomie quant à la surface minimale d'une parcelle.</w:t>
      </w:r>
    </w:p>
    <w:p>
      <w:r>
        <w:rPr>
          <w:b/>
        </w:rPr>
        <w:t>E. 2.1.3</w:t>
      </w:r>
    </w:p>
    <w:p>
      <w:r>
        <w:t>Dans un tel contexte,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 arrêt 1C_92/2015 du 18 novembre 2015 consid. 3.2.2).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p. 58 s.; arrêts 1C_641/2018 du 23 septembre 2019 consid. 3.1.3; 1C_314/2018 du 1</w:t>
      </w:r>
    </w:p>
    <w:p>
      <w:r>
        <w:t>er avril 2019 consid. 3.2; 1C_540/2016 du 25 août 2017 consid. 2.2 publié in JdT 2017 I 303; OLIVER SCHULER, Kognition zwischen Rechtsweggarantie und Gemeindeautonomie in bau- und planungsrechtlichen Verfahren, 2015, p. 75 ss); sur ces points, il appartient à la commune de motiver soigneusement sa décision (cf. arrêts 1C_641/2018 du 23 septembre 2019 consid. 3.1.3; 1C_540/2016 du 25 août 2017 consid. 2.2 publié in JdT 2017 I 303; 1C_452/2016 du 7 juin 2017 consid. 3.6; 1C_493/2016 du 30 mai 2017 consid. 2.6). A fortiori, l'autorité de recours doit-elle sanctionner l'appréciation communale lorsque celle-ci contrevient au droit supérieur, viole les principes constitutionnels d'égalité de traitement et de proportionnalité ou encore apparaît objectivement insoutenable - et partant arbitraire (cf. ATF 145 I 52 consid. 3.6 p. 59; arrêt 1C_92/2015 du 18 novembre 2015 consid. 3.1.3 et les références; pour une définition de l'arbitraire, voir ATF 141 IV 305 consid. 1.2 p. 308 s.).</w:t>
      </w:r>
    </w:p>
    <w:p>
      <w:r>
        <w:rPr>
          <w:b/>
        </w:rPr>
        <w:t>E. 2.1.4</w:t>
      </w:r>
    </w:p>
    <w:p>
      <w:r>
        <w:t>Le Tribunal fédéral revoit librement l'interprétation et l'application du droit fédéral et du droit constitutionnel cantonal. Il examine en revanche sous l'angle restreint de l'arbitraire l'interprétation et l'application des autres règles du droit cantonal ou communal (cf. ATF 141 I 36 consid. 5.4 p. 43; arrêt 1C_337/2019 du 13 novembre 2019 consid. 3.1 destiné à la publication et les références citées; cf. PIERRE TSCHANNEN, Staatsrecht der Schweizerischen Eidgenossenschaft, 4</w:t>
      </w:r>
    </w:p>
    <w:p>
      <w:r>
        <w:t>e éd., 2016, par. 17, n. 15, p. 256). Il contrôle librement si l'autorité judiciaire a respecté la latitude du jugement découlant de l'autonomie communale ( ATF 145 I 52 consid. 3.1 p. 56).</w:t>
      </w:r>
    </w:p>
    <w:p>
      <w:r>
        <w:rPr>
          <w:b/>
        </w:rPr>
        <w:t>E. 2.2</w:t>
      </w:r>
    </w:p>
    <w:p>
      <w:r>
        <w:t>A Vufflens-le-Château, la mesure d'utilisation du sol est régie dans la zone concernée par l'art. 17 RPAPC, dont la teneur est la suivante:</w:t>
      </w:r>
    </w:p>
    <w:p>
      <w:r>
        <w:t>" Toute parcelle à bâtir doit avoir une surface minimum de 1'500 m2. Il ne pourra être construit plus d'un bâtiment d'habitation par tranche de 1'500 m2.</w:t>
      </w:r>
    </w:p>
    <w:p>
      <w:r>
        <w:t>Le rapport entre la surface bâtie et celle de la parcelle ne peut excéder 1/10 pour les bâtiments dont la hauteur est comprise entre 8 et 9 m. Il pourra être porté à 1/8 si la hauteur au faîte ne dépasse pas 8 m. "</w:t>
      </w:r>
    </w:p>
    <w:p>
      <w:r>
        <w:rPr>
          <w:b/>
        </w:rPr>
        <w:t>E. 2.3</w:t>
      </w:r>
    </w:p>
    <w:p>
      <w:r>
        <w:t>Il sied tout d'abord de relever que contrairement à ce que semble soutenir la Municipalité, l'instance précédente n'a pas annulé le permis de construire au motif que le morcellement parcellaire envisagé n'était pas possible, mais en raison du fait que la surface constructible totale de la parcelle n° 232 (4'378 m</w:t>
      </w:r>
    </w:p>
    <w:p>
      <w:r>
        <w:rPr>
          <w:b/>
        </w:rPr>
        <w:t>E. 2.4</w:t>
      </w:r>
    </w:p>
    <w:p>
      <w:r>
        <w:t>La Municipalité critique cette appréciation. En substance, elle affirme qu'il ne faudrait pas exclure la partie non constructible (in casu la forêt) de la parcelle pour le calcul de la surface minimale, contrairement à ce qui prévaut pour le calcul du COS. Elle ne soutient toutefois pas qu'une disposition de droit communal prévoirait expressément cette exclusion. La Municipalité entend notamment tirer argument du fait que la forêt avance, de sorte que des parcelles autrefois constructibles deviendront inconstructibles avec un tel raisonnement. Elle affirme qu'il y a une confusion entre la disponibilité du terrain (surface minimale de 1'500 m</w:t>
      </w:r>
    </w:p>
    <w:p>
      <w:r>
        <w:rPr>
          <w:b/>
        </w:rPr>
        <w:t>E. 2.5</w:t>
      </w:r>
    </w:p>
    <w:p>
      <w:r>
        <w:t>Mal fondé, le grief de violation de l'autonomie communale doit dès lors être rejeté. Quant à celui ayant trait au fait que la cour cantonale aurait contrôlé la division du bien-fonds n° 232 en trois parcelles distinctes, il tombe à faux pour les motifs exposés ci-dessus.</w:t>
      </w:r>
    </w:p>
    <w:p>
      <w:r>
        <w:rPr>
          <w:b/>
        </w:rPr>
        <w:t>E. 3</w:t>
      </w:r>
    </w:p>
    <w:p>
      <w:r>
        <w:t>Les considérants qui précèdent conduisent au rejet du recours dans la mesure où il est recevable. Conformément à l' art. 66 al. 4 LTF , il n'est pas perçu de frais judiciaires. L'intimé A.________, assisté d'un avocat, a droit à des dépens, à la charge de la commune de Vufflens-le-Château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