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278/2019 vom 3. Juli 2019</w:t>
      </w:r>
    </w:p>
    <w:p>
      <w:r>
        <w:t>Bundesgericht, 2019-07-03, DE</w:t>
      </w:r>
    </w:p>
    <w:p>
      <w:r>
        <w:rPr>
          <w:b/>
        </w:rPr>
        <w:t xml:space="preserve">Quelle: </w:t>
      </w:r>
      <w:r>
        <w:t>https://mcp.opencaselaw.ch/entscheid/bger_1C_278_2019</w:t>
      </w:r>
    </w:p>
    <w:p>
      <w:r>
        <w:t>FR: TF 1C 278/2019 du 3 juillet 2019</w:t>
      </w:r>
    </w:p>
    <w:p>
      <w:r>
        <w:t>IT: TF 1C 278/2019 del 3 luglio 2019</w:t>
      </w:r>
    </w:p>
    <w:p>
      <w:pPr>
        <w:pStyle w:val="Heading2"/>
      </w:pPr>
      <w:r>
        <w:t>Regeste</w:t>
      </w:r>
    </w:p>
    <w:p>
      <w:r>
        <w:t>Baubewilligung; Sistierung | Raumplanung und öffentliches Baurecht</w:t>
      </w:r>
    </w:p>
    <w:p>
      <w:pPr>
        <w:pStyle w:val="Heading2"/>
      </w:pPr>
      <w:r>
        <w:t>Erwägungen</w:t>
      </w:r>
    </w:p>
    <w:p>
      <w:r>
        <w:rPr>
          <w:b/>
        </w:rPr>
        <w:t>E. 1</w:t>
      </w:r>
    </w:p>
    <w:p>
      <w:r>
        <w:t>Mit Eingabe vom 7. Februar 2018 verlangte A.________ vom Gemeinderat Galgenen, das von der BVK Personalvorsorge des Kantons Zürich (BVK) anhängig gemachte Baubewilligungsverfahren für eine Wohnüberbauung auf der Parzelle GB 242 in Galgenen bis zur Erledigung des Strafverfahrens "..." zu sistieren. Zur Begründung führte er an, es drohe ihm sonst ein nicht wiedergutzumachender Nachteil, da sich der Ausgang des Strafverfahrens auf die Besitzverhältnisse an der Parzelle GB 242 auswirke. Am 2. Juli 2018 trat der Gemeinderat Galgenen auf das Sistierungsgesuch nicht ein, wogegen A.________ beim Regierungsrat des Kantons Schwyz Beschwerde erhob. Am 6. September 2018 erteilte der Gemeinderat Galgenen der BVK die Baubewilligung. Dieser Entscheid wurde beim Regierungsrat angefochten. Am 4. Dezember 2018 trat der Regierungsrat auf die Beschwerde von A.________ gegen die Verfügung vom 2. Juli 2018 nicht ein. Am 25. März 2019 wies das Verwaltungsgericht des Kantons Schwyz die von A.________ dagegen erhobene Beschwerde ab. Mit Beschwerde vom 20. Mai 2019 beantragt A.________ u.a., diesen Entscheid des Verwaltungsgerichts aufzuheben. Ausserdem ersucht er um unentgeltliche Rechtspflege und Verbeiständung.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Die Erhebung einer Beschwerde setzt u.a. ein schutzwürdiges Interesse an der Aufhebung des angefochtenen Entscheids voraus ( Art. 89 Abs. 1 lit. c BGG ). Es ist weder dargetan noch ersichtlich, inwiefern der Beschwerdeführer ein aktuelles Rechtsschutzinteresse daran haben könnte, das vom Verwaltungsgericht geschützte Nichteintreten des Gemeinderates vom 2. Juli 2018 auf sein Sistierungsgesuch anzufechten, nachdem dieser das Baubewilligungsverfahren in der Zwischenzeit - am 6. September 2018 - abgeschlossen hat. Auf die Beschwerde ist wegen Verletzung der gesetzlichen Begründungspflicht im vereinfachten Verfahren nicht einzutreten, wobei auf die Erhebung von Kosten ausnahmsweise verzichtet werden kann. Das Gesuch um unentgeltliche Rechtspflege und Verbeiständung ist abzuweisen,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