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1C_277/2019 vom 24. Mai 2019</w:t>
      </w:r>
    </w:p>
    <w:p>
      <w:r>
        <w:t>Bundesgericht, 2019-05-24, DE</w:t>
      </w:r>
    </w:p>
    <w:p>
      <w:r>
        <w:rPr>
          <w:b/>
        </w:rPr>
        <w:t xml:space="preserve">Quelle: </w:t>
      </w:r>
      <w:r>
        <w:t>https://mcp.opencaselaw.ch/entscheid/bger_1C_277_2019</w:t>
      </w:r>
    </w:p>
    <w:p>
      <w:r>
        <w:t>FR: TF 1C_277/2019 du 24 mai 2019</w:t>
      </w:r>
    </w:p>
    <w:p>
      <w:r>
        <w:t>IT: TF 1C_277/2019 del 24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1C_277/2019</w:t>
      </w:r>
    </w:p>
    <w:p>
      <w:r>
        <w:t>Urteil vom 24. Mai 2019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Gerichtsschreiber Pfäffli.</w:t>
      </w:r>
    </w:p>
    <w:p>
      <w:r>
        <w:t>Verfahrensbeteiligte</w:t>
      </w:r>
    </w:p>
    <w:p>
      <w:r>
        <w:t>Martin Ruch,</w:t>
      </w:r>
    </w:p>
    <w:p>
      <w:r>
        <w:t>Beschwerdeführer,</w:t>
      </w:r>
    </w:p>
    <w:p>
      <w:r>
        <w:t>gegen</w:t>
      </w:r>
    </w:p>
    <w:p>
      <w:r>
        <w:t>Regierungsrat des Kantons Schaffhausen,</w:t>
      </w:r>
    </w:p>
    <w:p>
      <w:r>
        <w:t>Beckenstube 7, 8200 Schaffhausen,</w:t>
      </w:r>
    </w:p>
    <w:p>
      <w:r>
        <w:t>Bundeskanzlei, Bundeshaus West, 3003 Bern.</w:t>
      </w:r>
    </w:p>
    <w:p>
      <w:r>
        <w:t>Gegenstand</w:t>
      </w:r>
    </w:p>
    <w:p>
      <w:r>
        <w:t>Eidgenössische Volksabstimmung vom 19. Mai 2019</w:t>
      </w:r>
    </w:p>
    <w:p>
      <w:r>
        <w:t>betreffend das Bundesgesetz über die Steuerreform</w:t>
      </w:r>
    </w:p>
    <w:p>
      <w:r>
        <w:t>und die AHV-Finanzierung (STAF).</w:t>
      </w:r>
    </w:p>
    <w:p>
      <w:r>
        <w:t>In Erwägung,</w:t>
      </w:r>
    </w:p>
    <w:p>
      <w:r>
        <w:t>dass Martin Ruch mit Eingabe vom 7. Mai 2019 Beschwerde gegen die Eidgenössische Volksabstimmung vom 19. Mai 2019 betreffend das Bundesgesetz über die Steuerreform und die AHV-Finanzierung (STAF) wegen Verletzung des Grundsatzes der Einheit der Materie erhoben hat;</w:t>
      </w:r>
    </w:p>
    <w:p>
      <w:r>
        <w:t>dass der Regierungsrat des Kantons Schaffhausen mit Beschluss vom 16. Mai 2019 auf die Beschwerde von Martin Ruch wegen verspäteter Beschwerdeeinreichung nicht eingetreten ist;</w:t>
      </w:r>
    </w:p>
    <w:p>
      <w:r>
        <w:t>dass Martin Ruch mit Eingabe vom 21. Mai 2019 Beschwerde gegen den Beschluss des Regierungsrats des Kantons Schaffhausen erhoben hat;</w:t>
      </w:r>
    </w:p>
    <w:p>
      <w:r>
        <w:t>dass sich der Beschwerdeführer mit der Begründung des Regierungsrats, die zum Nichteintreten auf die Beschwerde führte, nicht auseinandersetzt und nicht nachvollziehbar darlegt, inwiefern dieser Beschluss rechts- bzw. verfassungswidrig sein soll, weshalb die Beschwerde den gesetzlichen Formerfordernissen ( Art. 42 Abs. 2 und Art. 106 Abs. 2 BGG ; BGE 136 I 65 E. 1.3.1 S. 68) nicht zu genügen vermag;</w:t>
      </w:r>
    </w:p>
    <w:p>
      <w:r>
        <w:t>dass somit mangels einer genügenden Begründung im vereinfachten Verfahren nach Art. 108 Abs. 1 BGG auf die Beschwerde nicht einzutreten ist;</w:t>
      </w:r>
    </w:p>
    <w:p>
      <w:r>
        <w:t>dass auf eine Kostenauflage verzichtet werden kann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Bundeskanzlei und dem Regierungsrat des Kantons Schaffhausen schriftlich mitgeteilt.</w:t>
      </w:r>
    </w:p>
    <w:p>
      <w:r>
        <w:t>Lausanne, 24. Mai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