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276/2018 vom 10. Dezember 2018</w:t>
      </w:r>
    </w:p>
    <w:p>
      <w:r>
        <w:t>Bundesgericht, 2018-12-10, FR</w:t>
      </w:r>
    </w:p>
    <w:p>
      <w:r>
        <w:rPr>
          <w:b/>
        </w:rPr>
        <w:t xml:space="preserve">Quelle: </w:t>
      </w:r>
      <w:r>
        <w:t>https://mcp.opencaselaw.ch/entscheid/bger_1C_276_2018</w:t>
      </w:r>
    </w:p>
    <w:p>
      <w:r>
        <w:t>FR: TF 1C 276/2018 du 10 décembre 2018</w:t>
      </w:r>
    </w:p>
    <w:p>
      <w:r>
        <w:t>IT: TF 1C 276/2018 del 10 dicembre 2018</w:t>
      </w:r>
    </w:p>
    <w:p>
      <w:pPr>
        <w:pStyle w:val="Heading2"/>
      </w:pPr>
      <w:r>
        <w:t>Regeste</w:t>
      </w:r>
    </w:p>
    <w:p>
      <w:r>
        <w:t>votation fédérale du 10 juin 2018 (Initiative Monnaie pleine) | Droits politiques</w:t>
      </w:r>
    </w:p>
    <w:p>
      <w:pPr>
        <w:pStyle w:val="Heading2"/>
      </w:pPr>
      <w:r>
        <w:t>Erwägungen</w:t>
      </w:r>
    </w:p>
    <w:p>
      <w:r>
        <w:rPr>
          <w:b/>
        </w:rPr>
        <w:t>E. 1</w:t>
      </w:r>
    </w:p>
    <w:p>
      <w:r>
        <w:t>D'après l' art. 82 let . c LTF, le Tribunal fédéral connaît des recours qui concernent les votations populaires, en particulier en matière fédérale contre les décisions des gouvernements cantonaux ( art. 88 al. 1 let. b LTF ). Le recourant dispose du droit de vote sur le plan fédéral et a ainsi qualité pour recourir ( art. 89 al. 3 LTF ). Il a déposé son recours contre la décision du gouvernement genevois auprès du Tribunal fédéral dans le délai prévu ( art. 100 al. 3 let. b LTF ).</w:t>
      </w:r>
    </w:p>
    <w:p>
      <w:r>
        <w:rPr>
          <w:b/>
        </w:rPr>
        <w:t>E. 2</w:t>
      </w:r>
    </w:p>
    <w:p>
      <w:r>
        <w:t>Dans sa réplique, le recourant fait valoir de nouveaux éléments (notamment, énumération des articles de presse traitant de l'Initiative Monnaie pleine, détail des résultats de la votation fédérale dans le canton de Genève, nouvelles irrégularités figurant dans le message explicatif du Conseil fédéral). Or, selon la jurisprudence du Tribunal fédéral, le mémoire de réplique ne saurait être utilisé aux fins de présenter de nouveaux arguments ou griefs qui auraient déjà pu figurer dans l'acte de recours ( ATF 132 I 42 consid. 3.3.4 p. 47 et les références citées). Admettre le contraire aurait en effet pour conséquence de prolonger les délais légaux, ce qui est expressément prohibé par l' art. 47 al. 1 LTF , et de créer des inégalités de traitement. Le recourant aurait dû se prévaloir de ces arguments dans son recours. Il s'ensuit que ce moyen ne peut être pris en considération.</w:t>
      </w:r>
    </w:p>
    <w:p>
      <w:r>
        <w:rPr>
          <w:b/>
        </w:rPr>
        <w:t>E. 3</w:t>
      </w:r>
    </w:p>
    <w:p>
      <w:r>
        <w:t>Le recourant se plaint d'une violation des principes d'exhaustivité et d'objectivité en ce sens que la présentation de l'initiative par le Conseil fédéral dans la brochure explicative contiendrait des erreurs factuelles. Il cite 19 phrases tirées des explications du Conseil fédéral qu'il qualifie de fallacieuses et de contraires à la vérité. Il fait valoir une violation des art. 5 et 34 al. 2 Cst. ainsi que des art. 10a al. 2 et 11 al. 2 LDP.</w:t>
      </w:r>
    </w:p>
    <w:p>
      <w:r>
        <w:rPr>
          <w:b/>
        </w:rPr>
        <w:t>E. 3.1</w:t>
      </w:r>
    </w:p>
    <w:p>
      <w:r>
        <w:t>En vertu de l' art. 189 al. 4 Cst. , les actes de l'Assemblée fédérale et du Conseil fédéral ne peuvent en principe pas être portés devant le Tribunal fédéral. Cette règle s'applique également en matière de droits politiques ( ATF 138 I 61 consid. 7.1 p. 85). Tant que le recourant reproche au Conseil fédéral d'avoir influencé de manière inadmissible la formation de la volonté des citoyens dans son message explicatif, il n'y a pas lieu d'entrer en matière sur le recours ( ATF 138 I 61 consid. 7.2 p. 85; 137 II 177 consid. 1.2 p. 179). Le recourant ne mentionne cependant pas uniquement le message explicatif du gouvernement fédéral. Il affirme que les informations erronées figurant dans le message explicatif fédéral ont été relayées dans les médias et soutenues par le Président de la Confédération lors de son allocution. Il ne précise toutefois pas de quel discours, de quels articles ou émissions il s'agit. Il se réfère à l' ATF 138 I 61 , arrêt dans lequel le Tribunal fédéral constate que l' art. 189 al. 4 Cst. permet que l'état d'information global précédant une votation populaire puisse faire l'objet d'une procédure et que, dans ce contexte, les explications du Conseil fédéral puissent aussi être mises en cause (consid. 7.4).</w:t>
      </w:r>
    </w:p>
    <w:p>
      <w:r>
        <w:rPr>
          <w:b/>
        </w:rPr>
        <w:t>E. 3.2</w:t>
      </w:r>
    </w:p>
    <w:p>
      <w:r>
        <w:t>Cette jurisprudence ne s'applique toutefois pas en l'occurrence. En effet, les critiques du recourant ne visent pas l'état d'information global mais directement les explications du Conseil fédéral elles-mêmes. L'interdiction de recourir contre le message explicatif du Conseil fédéral ne saurait être contournée en attaquant les informations généralement disponibles. Contrairement à la situation prévalant dans l' ATF 138 I 61 , il n'est pas reproché au Conseil fédéral d'avoir retenu des informations importantes dont seule l'administration fédérale disposait. Au contraire, le recourant fait grief au Conseil fédéral de ne pas avoir mentionné dans son message explicatif des faits, qui se déduisent du texte de la proposition de modification de la Constitution fédérale publié dans ledit message; ces éléments pouvaient ainsi être abordés sans difficulté dans le débat public précédant la votation (voir aussi arrêt 1C_455/2016 du 14 décembre 2016 consid. 2.4 non publié in ATF 143 I 78 ). Tel a été le cas en l'espèce. Lors du débat public qui a précédé la votation sur l'Initiative Monnaie pleine, les partisans de cette initiative ont eu suffisamment de temps et d'occasions pour commenter et/ou rectifier les affirmations qui leur semblaient fausses ou partisanes. Le recourant produit d'ailleurs un extrait vidéo de la rectification concernant l'Initiative Monnaie pleine opérée au journal télévisé de 19h30 de la Radio Télévision Suisse (RTS) le 4 juin 2018 : le journaliste y a précisé que "les banques commerciales ne prêtent pas l'argent des dépôts pour faire des crédits mais créent de la monnaie électronique par des écritures comptables lorsqu'elles font des crédits ou achètent des actifs". Quoi qu'en dise le recourant, cet erratum démontre que les arguments des partisans de l'Initiative Monnaie pleine ont été entendus dans le débat public précédant la votation.</w:t>
      </w:r>
    </w:p>
    <w:p>
      <w:r>
        <w:rPr>
          <w:b/>
        </w:rPr>
        <w:t>E. 3.3</w:t>
      </w:r>
    </w:p>
    <w:p>
      <w:r>
        <w:t>En définitive, il n'apparaît pas que les déclarations incriminées du Conseil fédéral se sont traduites par une information globale insuffisante. A tout le moins, le recourant ne parvient pas à l'établir. De plus, les irrégularités dénoncées par le recourant n'ont pas été à même d'influencer de façon déterminante le résultat du scrutin, dans la mesure où l'Initiative Monnaie pleine a été clairement rejetée par tous les cantons et par 75,7 % des votants.</w:t>
      </w:r>
    </w:p>
    <w:p>
      <w:r>
        <w:rPr>
          <w:b/>
        </w:rPr>
        <w:t>E. 4</w:t>
      </w:r>
    </w:p>
    <w:p>
      <w:r>
        <w:t>Il s'ensuit que le recours est irrecevable. Les frais judiciaires, réduits ( art. 66 al. 1 LTF ),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