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1C_276/2014 vom 1. Oktober 2014</w:t>
      </w:r>
    </w:p>
    <w:p>
      <w:r>
        <w:t>Bundesgericht, 2014-10-01, FR</w:t>
      </w:r>
    </w:p>
    <w:p>
      <w:r>
        <w:rPr>
          <w:b/>
        </w:rPr>
        <w:t xml:space="preserve">Quelle: </w:t>
      </w:r>
      <w:r>
        <w:t>https://mcp.opencaselaw.ch/entscheid/bger_1C_276_2014</w:t>
      </w:r>
    </w:p>
    <w:p>
      <w:r>
        <w:t>FR: TF 1C_276/2014 du 1 octobre 2014</w:t>
      </w:r>
    </w:p>
    <w:p>
      <w:r>
        <w:t>IT: TF 1C_276/2014 del 1 ottobre 2014</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La recourante a pris part à la procédure de recours devant le Tribunal cantonal. Elle est particulièrement touchée par l'arrêt attaqué qui confirme le refus d'une autorisation de construire. Elle a donc qualité pour agir au sens de l' art. 89 al. 1 LTF . Les autres conditions de recevabilité du recours sont réunies, si bien qu'il y a lieu d'entrer en matière sur le fond.</w:t>
      </w:r>
    </w:p>
    <w:p>
      <w:r>
        <w:rPr>
          <w:b/>
        </w:rPr>
        <w:t>E. 2</w:t>
      </w:r>
    </w:p>
    <w:p>
      <w:r>
        <w:t>Dans un grief d'ordre formel, qu'il convient d'examiner en premier, la recourante reproche à la cour cantonale de ne pas avoir traité de l'argumentation fondée sur le principe de la bonne foi: elle se prévalait d'assurances données par la Fondation pour les terrains industriels de Genève (FTI) lors de la constitution du droit de superficie en faveur de la recourante. Un an et demi plus tard, cette même fondation avait préavisé négativement au projet de la recourante.</w:t>
      </w:r>
    </w:p>
    <w:p>
      <w:r>
        <w:rPr>
          <w:b/>
        </w:rPr>
        <w:t>E. 2.1</w:t>
      </w:r>
    </w:p>
    <w:p>
      <w:r>
        <w:t>Le droit d'être entendu, garanti par l' art. 29 al. 2 Cst. , implique notamment pour l'autorité l'obligation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 134 I 83 consid. 4.1 p. 88 et les arrêts cités). L'autorité se rend en revanche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w:t>
      </w:r>
    </w:p>
    <w:p>
      <w:r>
        <w:rPr>
          <w:b/>
        </w:rPr>
        <w:t>E. 2.2</w:t>
      </w:r>
    </w:p>
    <w:p>
      <w:r>
        <w:t>La recourante faisait certes valoir, dans son recours cantonal, les garanties prétendument données par la FTI. Le grief était toutefois lié à l'argumentaire relatif à l'abus de droit (durée du traitement des demandes d'autorisation et application du droit en vigueur). La recourante relevait avec raison que la FTI n'était pas l'autorité de décision, et elle n'invoquait pas expressément le principe de la bonne foi. Elle évoquait également des pourparlers avec l'Office de l'urbanisme, sans non plus en tirer de conséquences autres qu'un "malaise de l'autorité". Dans ces circonstances, la cour cantonale pouvait considérer que l'argumentation soulevée n'appelait pas d'autre réponse que celle apportée au grief d'abus de droit. Il n'y a donc pas de violation du droit d'être entendu.</w:t>
      </w:r>
    </w:p>
    <w:p>
      <w:r>
        <w:rPr>
          <w:b/>
        </w:rPr>
        <w:t>E. 3</w:t>
      </w:r>
    </w:p>
    <w:p>
      <w:r>
        <w:t>Se plaignant d'arbitraire, la recourante estime, contrairement à la cour cantonale, que le département aurait volontairement retardé le déroulement de la procédure. Après le premier refus conservatoire, le département n'avait toujours pas statué six mois après le dépôt des nouvelles demandes d'autorisation de construire et avait été mis en demeure de statuer. Or, selon l'art. 4 al. 1 de la loi genevoise sur les constructions et installations diverses (LCI), l'autorité doit en principe répondre dans les soixante jours à toute demande d'autorisation. La seule objection soulevée dans les préavis était fondée sur le projet de modification des zones.</w:t>
      </w:r>
    </w:p>
    <w:p>
      <w:r>
        <w:rPr>
          <w:b/>
        </w:rPr>
        <w:t>E. 3.1</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qu'une autre solution paraisse concevable, voire préférable à celle qui a été adoptée. Il faut encore que cette dernière soit insoutenable non seulement dans sa motivation, mais aussi dans dans son résultat ( ATF 138 I 305 consid. 4.3 p. 319; 137 I 58 consid. 4.1.2 p. 62 ).</w:t>
      </w:r>
    </w:p>
    <w:p>
      <w:r>
        <w:rPr>
          <w:b/>
        </w:rPr>
        <w:t>E. 3.2</w:t>
      </w:r>
    </w:p>
    <w:p>
      <w:r>
        <w:t>Le premier refus à titre préventif fondé sur l'art. 13B LaLAT a été confirmé par la cour cantonale et ne saurait être remis en cause à ce stade. Dès lors, seule doit être prise en considération la période qui a suivi le dépôt des nouvelles demandes d'autorisation, le 19 mai 2011. Le département n'a statué à leur propos que le 15 décembre 2011. Selon l'art. 4 LCI, le délai de réponse à toute demande d'autorisation est de soixante jours à compter de la date d'enregistrement de la demande. Toutefois, ce délai peut être prolongé notamment en cas de demande de dérogation, d'application des dispositions régissant les zones de développement ou si l'importance du projet le justifie (al. 2). Ce délai est également suspendu lorsque le département demande des pièces ou renseignements complémentaires nécessaires (al. 3). La recourante a en l'occurrence déposé, le 17 novembre 2011, un projet modifié tenant compte du préavis du 6 juillet 2011 de la Direction générale de la mobilité, intégrant vingt places de stationnement pour vélos. Compte tenu de cette nouvelle production, de l'importance du projet dans le contexte litigieux et de l'application des dispositions sur les zones de développement, on ne saurait considérer que les délais imposés par la loi auraient été arbitrairement ou délibérément dépassés. L'autorité a d'ailleurs statué dans le délai de dix jours suivant la mise en demeure adressée par la recourante le 7 décembre 2011, comme le prévoit l'art. 4 al. 4 LCI. Le grief doit par conséquent être écarté.</w:t>
      </w:r>
    </w:p>
    <w:p>
      <w:r>
        <w:rPr>
          <w:b/>
        </w:rPr>
        <w:t>E. 4</w:t>
      </w:r>
    </w:p>
    <w:p>
      <w:r>
        <w:t>La recourante estime enfin que la cour cantonale aurait fait une application insoutenable du principe de la proportionnalité. L'élargissement de la voie publique pour réaliser "un axe structurant de mobilité douce et d'espace de loisir et de détente" ne constituerait qu'un projet en cours d'élaboration, insuffisant pour fonder un refus dans l'état actuel. L'affectation prévue dans le périmètre (logement et activités) ne serait pas incompatible avec l'agrandissement des locaux de la recourante.</w:t>
      </w:r>
    </w:p>
    <w:p>
      <w:r>
        <w:rPr>
          <w:b/>
        </w:rPr>
        <w:t>E. 4.1</w:t>
      </w:r>
    </w:p>
    <w:p>
      <w:r>
        <w:t>Un refus d'autorisation de construire motivé par des motifs d'aménagement représente une atteinte au droit de propriété qui n'est compatible avec l' art. 26 Cst. que pour autant qu'elle repose sur un intérêt public suffisant et respecte les principes de la proportionnalité et de l'égalité devant la loi ( art. 36 Cst. ).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136 I 265 consid. 2.3 p. 270; 135 I 302 consid. 1.2 p. 305).</w:t>
      </w:r>
    </w:p>
    <w:p>
      <w:r>
        <w:rPr>
          <w:b/>
        </w:rPr>
        <w:t>E. 4.2</w:t>
      </w:r>
    </w:p>
    <w:p>
      <w:r>
        <w:t>Selon la modification des zones adoptée le 23 juin 2011, la parcelle n° 2627 se trouve en zone de développement 2 destinée à une affectation mixte comportant logements, activités tertiaires et entreprises sans nuisances ou moyennement gênantes. Il n'est dès lors pas arbitraire de considérer qu'un immeuble exclusivement consacré à une activité commerciale ne correspond pas à l'affectation prévue. En outre, la recourante ne conteste pas que selon le régime de la zone de développement, et comme le prévoit la loi du 23 juin 2011, tous les projets de quelque importance doivent être précédés de l'adoption d'un plan de quartier accompagné d'un règlement (art. 2 al. 1 de la loi générale sur les zones de développement - LGZD). En l'absence d'un tel plan, le projet ne pouvait être autorisé, sans qu'il y ait à s'interroger plus avant sur l'application du principe de la proportionnalité.</w:t>
      </w:r>
    </w:p>
    <w:p>
      <w:r>
        <w:rPr>
          <w:b/>
        </w:rPr>
        <w:t>E. 5</w:t>
      </w:r>
    </w:p>
    <w:p>
      <w:r>
        <w:t>Sur le vu de ce qui précède, le recours est rejeté.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