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1C_275/2012 vom 21. September 2012</w:t>
      </w:r>
    </w:p>
    <w:p>
      <w:r>
        <w:t>Bundesgericht, 2012-09-21, DE</w:t>
      </w:r>
    </w:p>
    <w:p>
      <w:r>
        <w:rPr>
          <w:b/>
        </w:rPr>
        <w:t xml:space="preserve">Quelle: </w:t>
      </w:r>
      <w:r>
        <w:t>https://mcp.opencaselaw.ch/entscheid/bger_1C_275_2012</w:t>
      </w:r>
    </w:p>
    <w:p>
      <w:r>
        <w:t>FR: TF 1C_275/2012 du 21 septembre 2012</w:t>
      </w:r>
    </w:p>
    <w:p>
      <w:r>
        <w:t>IT: TF 1C_275/2012 del 21 settembre 2012</w:t>
      </w:r>
    </w:p>
    <w:p>
      <w:pPr>
        <w:pStyle w:val="Heading2"/>
      </w:pPr>
      <w:r>
        <w:t>Erwägungen</w:t>
      </w:r>
    </w:p>
    <w:p>
      <w:r>
        <w:rPr>
          <w:b/>
        </w:rPr>
        <w:t>E. 1.1</w:t>
      </w:r>
    </w:p>
    <w:p>
      <w:r>
        <w:t>Beim angefochtenen Entscheid handelt es sich um einen letztinstanzlichen kantonalen Endentscheid in einer öffentlich-rechtlichen Angelegenheit (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w:t>
      </w:r>
    </w:p>
    <w:p>
      <w:r>
        <w:rPr>
          <w:b/>
        </w:rPr>
        <w:t>E. 1.2</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Im Hinblick auf Art. 42 Abs. 1 und 2 BGG hat der Beschwerdeführer darzulegen, dass die gesetzlichen Legitimationsvoraussetzungen gegeben sind, soweit diese nicht ohne Weiteres ersichtlich sind ( BGE 133 II 400 E. 2 S. 403 f. mit Hinweis).</w:t>
      </w:r>
    </w:p>
    <w:p>
      <w:r>
        <w:t>Die Beschwerdeführerin hat am vorinstanzlichen Verfahren teilgenommen. Sie macht geltend, durch das Einreichen des Beschlusses vom 19. Mai 2011 durch den Bezirksrat beim Bezirksgericht Bremgarten habe sie einen Eingriff in ihren Anspruch auf Schutz der Privatsphäre ( Art. 13 BV ) bzw. in ihre Persönlichkeitsrechte ( Art. 28 ZGB ) erlitten, weil der Beschluss persönliche Daten enthalte.</w:t>
      </w:r>
    </w:p>
    <w:p>
      <w:r>
        <w:t>Ob die Beschwerdeführerin an der Änderung des angefochtenen Entscheids bzw. der Erteilung der Ermächtigung für die Einleitung einer Strafuntersuchung gegen die Beschwerdegegner ein schutzwürdiges Interesse im Sinne von Art. 89 Abs. 1 lit. c BGG hat, erscheint fraglich. Diese Frage kann aber offen bleiben, da die Beschwerde - wie nachfolgend aufzuzeigen ist - ohnehin abzuweisen ist.</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Die Beschwerdeführerin verweist auf Art. 97 Abs. 1 BGG und macht sinngemäss geltend, die Vorinstanz habe den Sachverhalt nicht richtig festgestellt. Auf diese Rüge ist nicht einzutreten, da die Beschwerdeführerin nicht darlegt, inwiefern die vorinstanzliche Sachverhaltsdarstellung offensichtlich unrichtig bzw. willkürlich sein sollte. In tatsächlicher Hinsicht ist somit auf die Feststellungen der Vorinstanz abzustellen.</w:t>
      </w:r>
    </w:p>
    <w:p>
      <w:r>
        <w:rPr>
          <w:b/>
        </w:rPr>
        <w:t>E. 3</w:t>
      </w:r>
    </w:p>
    <w:p>
      <w:r>
        <w:t>Gemäss Art. 7 Abs. 2 lit. b StPO (SR 312.0)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 BGE 137 IV 269 E. 2.1). Nach § 148 des Gesetzes vom 10. Mai 2010 über die Gerichts- und Behördenorganisation im Zivil- und Strafprozess (GOG; LS 211.1) setzt im Kanton Zürich die Eröffnung einer Strafuntersuchung gegen Beamte gemäss Art. 110 Abs. 3 StGB wegen im Amt begangener Verbrechen oder Vergehen eine Ermächtigung des Obergerichts voraus. Vorbehalten bleibt § 38 Abs. 1 des Kantonsratsgesetzes vom 5. April 1981 (KRG; LS 171.1), wonach die Eröffnung einer Strafuntersuchung gegen Mitglieder des Regierungsrats, des Obergerichts, des Verwaltungsgerichts und des Sozialversicherungsgerichts für im Amt begangene Verbrechen oder Vergehen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275 ff.). In verfassungskonformer Auslegung von Art. 7 Abs. 2 lit. b StPO dürfen in solchen Ermächtigungsverfahren - ausser bei obersten Vollziehungs- und Gerichtsbehörden - nur strafrechtliche Gesichtspunkte berücksichtigt werden ( BGE 137 IV 269 E. 2.4 S. 277 f.).</w:t>
      </w:r>
    </w:p>
    <w:p>
      <w:r>
        <w:rPr>
          <w:b/>
        </w:rPr>
        <w:t>E. 4</w:t>
      </w:r>
    </w:p>
    <w:p>
      <w:r>
        <w:t>Gemäss Art. 309 Abs. 1 lit. a StPO eröffnet die Staatsanwaltschaft eine Strafuntersuchung, wenn ein hinreichender Tatverdacht besteht. Die Vorinstanz begründete die Verweigerung der Ermächtigung zur Eröffnung einer Strafuntersuchung mit dem Fehlen eines relevanten Tatverdachts. Die Übermittlung des Beschlusses vom 19. Mai 2011 an den Rechtsöffnungsrichter stelle keine strafbare Handlung dar. Die Beschwerdeführerin macht geltend, es liege zumindest ein hinreichender Verdacht vor, dass die Übermittlung des Beschlusses vom 19. Mai 2011 inklusive Begründung an den Rechtsöffnungsrichter eine Amtsgeheimnisverletzung darstelle. Damit rügt sie sinngemäss eine Verletzung von Art. 309 Abs. 1 lit. a i.V.m. Art. 7 Abs. 2 lit. b StPO .</w:t>
      </w:r>
    </w:p>
    <w:p>
      <w:r>
        <w:rPr>
          <w:b/>
        </w:rPr>
        <w:t>E. 4.1</w:t>
      </w:r>
    </w:p>
    <w:p>
      <w:r>
        <w:t>Nach Art. 320 Ziff. 1 StGB macht sich strafbar,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Die Geheimhaltungspflicht ist grundsätzlich auch innerhalb der Verwaltung zu beachten. Soweit die Offenbarung allerdings gesetzlich vorgesehen oder dienstlich gerechtfertigt ist, entfällt die Verpflichtung zur amtsinternen Geheimniswahrung ( BGE 114 IV 44 E. 3b S. 48). Keine Amtsgeheimnisverletzung gemäss Art. 320 Ziff. 1 StGB liegt vor, wenn die Offenbarung gegenüber einer ermächtigten Person erfolgt, zum Beispiel, wenn ein Urteil korrekt hinterlegt oder als Beweismittel zugelassen wurde (STEFAN TRECHSEL/HANS VEST, in: Schweizerisches Strafgesetzbuch Praxiskommentar, 2008, N. 8 zu Art. 320).</w:t>
      </w:r>
    </w:p>
    <w:p>
      <w:r>
        <w:rPr>
          <w:b/>
        </w:rPr>
        <w:t>E. 4.2</w:t>
      </w:r>
    </w:p>
    <w:p>
      <w:r>
        <w:t>Der Bezirksrat hat den Beschluss vom 19. Mai 2011 dem zuständigen Rechtsöffnungsrichter als Rechtsöffnungstitel im Sinne von Art. 80 Abs. 1 i.V.m. Abs. 2 Ziff. 2 SchKG eingereicht. Wie die Vorinstanz zu Recht ausgeführt hat, war die Mitteilung des Beschlusses zwecks Durchsetzung der Forderung gegenüber der Beschwerdeführerin dienstlich gerechtfertigt. Mit Blick auf Art. 320 Ziff. 1 StGB nicht zu beanstanden ist, dass der Bezirksrat nicht nur das Dispositiv, sondern den gesamten Beschluss inklusive Begründung eingereicht hat, zumal die Begründung Bestandteil des Entscheids bildet (vgl. § 10 Abs. 1 des Verwaltungsrechtspflegegesetzes des Kantons Zürich vom 24. Mai 1959 [VRG; LS 175.2]). Der mit der Einreichung des Beschlusses beim zuständigen Rechtsöffnungsrichter allenfalls verbundene Eingriff in die Privatsphäre der Beschwerdeführerin bzw. in ihre Persönlichkeitsrechte ist gesetzlich vorgesehen und strafrechtlich irrelevant.</w:t>
      </w:r>
    </w:p>
    <w:p>
      <w:r>
        <w:rPr>
          <w:b/>
        </w:rPr>
        <w:t>E. 4.3</w:t>
      </w:r>
    </w:p>
    <w:p>
      <w:r>
        <w:t>Nach dem Gesagten besteht hinsichtlich des dem Bezirksrat bzw. den Beschwerdegegnern von der Beschwerdeführerin vorgeworfenen Verhaltens klarerweise kein hinreichender Verdacht auf eine strafbare Handlung. Die Vorinstanz hat weder Art. 309 Abs. 1 lit. a i.V.m. Art. 7 Abs. 2 lit. b StPO noch sonst Bundesrecht verletzt, wenn sie zum Schluss gekommen ist, die Voraussetzungen für die Erteilung der Ermächtigung zum Entscheid über die Eröffnung einer Strafuntersuchung bzw. die Nichtanhandnahme des Verfahrens seien nicht erfüllt.</w:t>
      </w:r>
    </w:p>
    <w:p>
      <w:r>
        <w:rPr>
          <w:b/>
        </w:rPr>
        <w:t>E. 5</w:t>
      </w:r>
    </w:p>
    <w:p>
      <w:r>
        <w:t>Die Beschwerde erweist sich als unbegründet. Sie ist abzuweisen, soweit darauf einzutreten ist. Bei diesem Ausgang des Verfahrens wird die Beschwerdeführerin grundsätzlich kostenpflichtig (vgl. Art. 66 Abs. 1 BGG ). Es rechtfertigt sich jedoch, umständehalber auf die Erhebung von Gerichtskosten zu verzichten ( Art. 66 Abs. 1 BGG ). Damit wird das Gesuch der anwaltlich nicht vertretenen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