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1C_274/2011 vom 17. November 2011</w:t>
      </w:r>
    </w:p>
    <w:p>
      <w:r>
        <w:t>Bundesgericht, 2011-11-17, DE</w:t>
      </w:r>
    </w:p>
    <w:p>
      <w:r>
        <w:rPr>
          <w:b/>
        </w:rPr>
        <w:t xml:space="preserve">Quelle: </w:t>
      </w:r>
      <w:r>
        <w:t>https://mcp.opencaselaw.ch/entscheid/bger_1C_274_2011</w:t>
      </w:r>
    </w:p>
    <w:p>
      <w:r>
        <w:t>FR: TF 1C_274/2011 du 17 novembre 2011</w:t>
      </w:r>
    </w:p>
    <w:p>
      <w:r>
        <w:t>IT: TF 1C_274/2011 del 17 novembre 2011</w:t>
      </w:r>
    </w:p>
    <w:p>
      <w:pPr>
        <w:pStyle w:val="Heading2"/>
      </w:pPr>
      <w:r>
        <w:t>Erwägungen</w:t>
      </w:r>
    </w:p>
    <w:p>
      <w:r>
        <w:rPr>
          <w:b/>
        </w:rPr>
        <w:t>E. 1.1</w:t>
      </w:r>
    </w:p>
    <w:p>
      <w:r>
        <w:t>Das angefochtene Urteil des Verwaltungsgerichts ist ein Endentscheid einer letzten kantonalen Instanz (Art. 82 lit. a i.V.m. Art. 86 Abs. 1 lit. d und Art. 90 BGG ). Ihm liegt ein Beschwerdeverfahren über ein Baubegehren und damit eine öffentlich-rechtliche Angelegenheit zu Grunde. Die Beschwerde in öffentlich-rechtlichen Angelegenheiten nach Art. 82 lit. a BGG steht auf dem Gebiet des Raumplanungs- und Baurechts zur Verfügung ( BGE 133 II 249 E. 1.2 S. 251, 400 E. 2.1 S. 404). Ausnahmegründe im Sinne von Art. 83 ff. BGG liegen nicht vor. Die Beschwerdeführerin hat am Verfahren vor der Vorinstanz teilgenommen ( Art. 89 Abs. 1 lit. a BGG ). Sie ist als Nachbarin zur Beschwerde grundsätzlich legitimiert ( Art. 89 Abs. 1 lit. b und c BGG ; BGE 133 II 249 E. 1.3.3 S. 253 f.). Dies gilt auch für ihr Vorbringen, die Vorinstanz habe ihre Legitimation zu Unrecht teilweise verneint. Zu dieser Rüge ist die Beschwerdeführerin nach Art. 89 Abs. 1 BGG befugt, ungeachtet ihrer Legitimation in der Sache (vgl. BGE 133 II 249 E. 1.3.2 S. 253 ; 133 I 185 E. 6.2 S. 198 ff.). Auf die frist- und formgerecht eingereichte Beschwerde ist grundsätzlich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(einschliesslich der willkürlichen Anwendung von kantonalem Recht und Willkür bei der Sachverhaltsfeststellung; dazu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1.3</w:t>
      </w:r>
    </w:p>
    <w:p>
      <w:r>
        <w:t>Vorab ist festzuhalten, dass nur noch das Verfahren bezüglich Parzelle Nr. 259, GB Beckenried, hängig ist. Die Nutzung von Grundstück Nr. 1352 ist nicht mehr strittig.</w:t>
      </w:r>
    </w:p>
    <w:p>
      <w:r>
        <w:rPr>
          <w:b/>
        </w:rPr>
        <w:t>E. 2</w:t>
      </w:r>
    </w:p>
    <w:p>
      <w:r>
        <w:t>Die Beschwerdeführerin wendet sich in erster Linie dagegen, dass ihr die kantonalen Instanzen die Legitimation in Bezug auf die Parkplatzsituation auf der Parzelle Nr. 259, GB Beckenried, abgesprochen haben.</w:t>
      </w:r>
    </w:p>
    <w:p>
      <w:r>
        <w:t>Umfangreiche Ausführungen hierzu erübrigen sich. Das Verwaltungsgericht hat nämlich im Ergebnis eine materielle Prüfung vorgenommen und die Beschwerde selbst für den Fall, dass darauf einzutreten wäre, abgewiesen. Damit kann auch vor Bundesgericht offen bleiben, ob die Beschwerdelegitimation zu Recht verneint wurde.</w:t>
      </w:r>
    </w:p>
    <w:p>
      <w:r>
        <w:rPr>
          <w:b/>
        </w:rPr>
        <w:t>E. 3</w:t>
      </w:r>
    </w:p>
    <w:p>
      <w:r>
        <w:t>In materieller Hinsicht hat das Verwaltungsgericht vorab festgestellt, das kantonale Strassengesetz äussere sich nicht explizit zur Bewilligungspflicht von Zufahrten auf/ab öffentlichen Strassen. Der Regierungsrat sei unter Bezugnahme auf Art. 50 StrG/NW zum Schluss gelangt, unter die in dieser Bestimmung genannten Umgestaltungen seien im Sinn von Art. 22 RPG auch Zweckänderungen zu subsumieren, soweit diese geeignet seien, örtlich fassbare Auswirkungen auf die Nutzungsordnung zu bewirken. Demzufolge wären bestehende Zufahrten in eine öffentliche Strasse zu überprüfen, wenn sie einem wesentlichen Mehrverkehr oder einem andersartigen Verkehr als bisher dienen würden. Die Parzelle Nr. 259 werde seit Jahrzehnten als Abstellplatz für Fahrzeuge, Gegenstände und Gerätschaften genutzt. Das Abstellen von Fahrzeugen sei nicht mit erheblich grösserem oder andersartigem Verkehr verbunden. Insofern liege kein überprüfungspflichtiger Zustand vor.</w:t>
      </w:r>
    </w:p>
    <w:p>
      <w:r>
        <w:rPr>
          <w:b/>
        </w:rPr>
        <w:t>E. 3.1</w:t>
      </w:r>
    </w:p>
    <w:p>
      <w:r>
        <w:t>Art. 50 Abs. 1 StrG/NW erklärt bauliche Umgestaltungen im Bereich von Strassen, wie die Erstellung, Änderung oder Verlegung von Kreuzungen mit andern Verkehrswegen, Gewässern, Seilbahnen, Leitungen aller Art und ähnlichen Anlagen sowie von Einmündungen neuer Strassen in das bestehende Strassennetz als bewilligungspflichtig; sie dürfen die Strassenanlage und einen allfälligen künftigen Ausbau nicht beeinträchtigen.</w:t>
      </w:r>
    </w:p>
    <w:p>
      <w:r>
        <w:t>Den kantonalen Instanzen ist in einem ersten Schritt keine Willkür vorzuwerfen, wenn sie den Begriff "Umgestaltung" im Sinn von Art. 22 RPG auslegen und eine Bewilligungspflicht nur bei einer Zweckänderung mit erheblichen räumlichen Folgen bejahen wollen (siehe zur Bewilligungspflicht bspw. das Urteil 1C_47/2008 des Bundesgerichts vom 8. August 2008 publ. in: ZBl 111/2010 S. 397 E. 2.5.1). Daran scheint sich die Beschwerdeführerin nicht zu stossen. Auch stellt sie die jahrelange Nutzung der Parzelle als Lager- und Abstellplatz nicht in Abrede. Sie macht aber in genereller Art und Weise geltend, das Ein- und Ausfahren rückwärts von der Kantonsstrasse in die strittigen Parkplätze stelle einen gegenüber der früheren Nutzung der Zufahrt andersartigen Verkehr dar. Früher sei das Grundstück nicht durch Pflanzentröge zweigeteilt gewesen; die fragliche Parzelle habe darum als Manövrierfläche genutzt werden können, was jeweils eine Zu- und Wegfahrt vorwärts erlaubt habe.</w:t>
      </w:r>
    </w:p>
    <w:p>
      <w:r>
        <w:rPr>
          <w:b/>
        </w:rPr>
        <w:t>E. 3.2</w:t>
      </w:r>
    </w:p>
    <w:p>
      <w:r>
        <w:t>Diese Behauptung ist durch nichts belegt und genügt nicht, um den kantonalen Instanzen Willkür in der Rechtsanwendung oder der Sachverhaltsfeststellung vorzuwerfen. Insbesondere ist nicht dargetan, dass und seit wann eine wesentliche, bau- oder umweltrechtlich relevante Nutzungsänderung stattgefunden hätte. Die privaten Parkfelder werden gemäss den Ausführungen der Vorinstanzen nach wie vor von Anwohnern genutzt, ohne dass damit ein massgeblicher Mehrverkehr verbunden wäre. Etwas anderes bringt die Beschwerdeführerin nicht rechtsgenüglich vor. Es kann insgesamt auf den angefochtenen Entscheid verwiesen werden ( Art. 109 Abs. 3 BGG ).</w:t>
      </w:r>
    </w:p>
    <w:p>
      <w:r>
        <w:rPr>
          <w:b/>
        </w:rPr>
        <w:t>E. 3.3</w:t>
      </w:r>
    </w:p>
    <w:p>
      <w:r>
        <w:t>Unbehelflich ist in dem Zusammenhang die Berufung auf Art. 22 RPG : Wie gesehen haben die kantonalen Behörden Art. 50 StrG/NW im Sinn dieser bundesrechtlichen Regelung ausgelegt. Die diesbezüglichen Ausführungen treffen entsprechend auch in Bezug auf die Bewilligungspflicht nach RPG zu.</w:t>
      </w:r>
    </w:p>
    <w:p>
      <w:r>
        <w:rPr>
          <w:b/>
        </w:rPr>
        <w:t>E. 4</w:t>
      </w:r>
    </w:p>
    <w:p>
      <w:r>
        <w:t>Demzufolge ist die Beschwerde abzuweisen, soweit darauf einzutreten ist. Dem Ausgang des Verfahrens entsprechend hat die Beschwerdeführerin für die Kosten vor dem Bundesgericht aufzukommen (Art. 66 Abs. 1 BG). Da die privaten Beschwerdegegner 1 vom vorliegenden Verfahren nicht betroffen sind, ist ihnen keine Parteientschädigung zuzusprechen. Hingegen hat die Beschwerdeführerin die private Beschwerdeführerin 2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