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1C_274/2010 vom 7. Oktober 2010</w:t>
      </w:r>
    </w:p>
    <w:p>
      <w:r>
        <w:t>Bundesgericht, 2010-10-07, FR</w:t>
      </w:r>
    </w:p>
    <w:p>
      <w:r>
        <w:rPr>
          <w:b/>
        </w:rPr>
        <w:t xml:space="preserve">Quelle: </w:t>
      </w:r>
      <w:r>
        <w:t>https://mcp.opencaselaw.ch/entscheid/bger_1C_274_2010</w:t>
      </w:r>
    </w:p>
    <w:p>
      <w:r>
        <w:t>FR: TF 1C_274/2010 du 7 octobre 2010</w:t>
      </w:r>
    </w:p>
    <w:p>
      <w:r>
        <w:t>IT: TF 1C_274/2010 del 7 ottobre 2010</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Selon l' art. 89 al. 2 let . d LTF, ont qualité pour recourir les personnes, organisations et autorités auxquelles une autre loi fédérale accorde un droit de recours. L' art. 24 al. 2 let. a LCR permet à l'autorité qui a pris la décision de première instance de recourir contre la décision de l'autorité cantonale de recours indépendante de l'administration. Le SAN a donc qualité pour recourir. Les autres conditions de recevabilité du recours sont réunies, de sorte qu'il convient d'entrer en matière sur le fond.</w:t>
      </w:r>
    </w:p>
    <w:p>
      <w:r>
        <w:rPr>
          <w:b/>
        </w:rPr>
        <w:t>E. 2</w:t>
      </w:r>
    </w:p>
    <w:p>
      <w:r>
        <w:t>Sur le plan formel, l'intimée conteste d'une part, avoir circulé à une distance située entre cinq et dix mètres du véhicule précédent ainsi que l'ont retenu le rapport de police et le prononcé pénal du 25 septembre 2009. Elle prétend d'autre part, que l'autorité administrative n'était pas habilitée à s'écarter du jugement pénal qui n'a pas retenu une infraction grave, mais une infraction simple au sens de l' art. 90 ch. 1 LCR .</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t>Si les faits retenus au pénal lient donc en principe l'autorité et le juge administratifs, il en va différemment des questions de droit, en particulier de l'appréciation de la faute (arrêts 1C_585/2008 du 14 mai 2009 consid. 3.1; 1C_222/2008 du 18 novembre 2008 consid. 2.4; 1C_71/ 2008 du 31 mars 2008 consid. 2.1; ATF 120 Ib 312 consid. 4b p. 315; 115 Ib 163 consid. 2a p. 164; 102 Ib 193 consid. 3c p. 196) et de la mise en danger.</w:t>
      </w:r>
    </w:p>
    <w:p>
      <w:r>
        <w:rPr>
          <w:b/>
        </w:rPr>
        <w:t>E. 2.2</w:t>
      </w:r>
    </w:p>
    <w:p>
      <w:r>
        <w:t>En l'espèce, le Tribunal cantonal a retenu que le prononcé pénal se fondait sur les faits constatés par la police cantonale le 21 juillet 2009. Si l'intimée désapprouvait ces faits, il lui appartenait de faire valoir ses moyens dans le cadre de la procédure pénale conformément à la jurisprudence précitée. Dès lors qu'elle avait renoncé à contester le prononcé préfectoral, elle était forclose à contester les faits qui lui sont reprochés. L'intimée n'ayant de surcroît pas recouru contre l'arrêt du Tribunal cantonal, le Tribunal de céans se voit lié par l'état de fait de l'arrêt attaqué, lequel retient que l'intéressée a circulé à une distance oscillant entre cinq et dix mètres du véhicule la précédant, à une vitesse de 100 km/h sur une distance d'environ 500 mètres.</w:t>
      </w:r>
    </w:p>
    <w:p>
      <w:r>
        <w:t>Quant à la qualification juridique de la faute commise par l'intimée, il n'y a pas de circonstances importantes dont le juge pénal aurait une connaissance plus approfondie que l'autorité administrative. Par conséquent, le Service cantonal des automobiles et de la navigation tout comme le Tribunal cantonal étaient libres de procéder à leur propre appréciation juridique des faits pertinents, tels qu'ils résultent du dossier, sans être liés par le jugement pénal.</w:t>
      </w:r>
    </w:p>
    <w:p>
      <w:r>
        <w:rPr>
          <w:b/>
        </w:rPr>
        <w:t>E. 3</w:t>
      </w:r>
    </w:p>
    <w:p>
      <w:r>
        <w:t>Sur le fond, le SAN estime que l'attitude de l'intimée est constitutive d'une faute grave, car l'intervalle entre les deux véhicules est de 0,3 seconde. A cet égard, il se réfère à trois arrêts rendus par le Tribunal fédéral.</w:t>
      </w:r>
    </w:p>
    <w:p>
      <w:r>
        <w:rPr>
          <w:b/>
        </w:rPr>
        <w:t>E. 3.1</w:t>
      </w:r>
    </w:p>
    <w:p>
      <w:r>
        <w:t>Commet une infraction grave selon l' art. 16c al. 1 let. a LCR la personne qui, en violant gravement les règles de la circulation, met sérieusement en danger la sécurité d'autrui ou en prend le risque. Conformément à l' art. 16c al. 2 let. a LCR , le permis d'élève conducteur ou le permis de conduire est retiré pour trois mois au minimum.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t>Selon l' art. 34 al. 4 LCR , le conducteur observera une distance suffisante envers tous les usagers de la route, notamment pour croiser, dépasser et circuler de front ou lorsque des véhicules se suivent. L'art. 12 al. 1 de l'ordonnance sur les règles de la circulation routière du 13 novembre 1962 (OCR; RS 741.11) prévoit que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 ATF 131 IV 133 consid. 3.1 p. 135). Prenant en compte la pratique allemande et la doctrine, la jurisprudence du Tribunal fédéral a considéré que le cas peut être grave lorsque l'intervalle entre les véhicules est inférieur à 0,8 voire 0,6 seconde ( ATF 131 IV 133 consid. 3.2.2 p. 137 et les références citées). Ainsi, une faute grave a été retenue lorsqu'un automobiliste a, sur une distance de 800 mètres environ et à une vitesse supérieure à 100 km/h, suivi le véhicule le précédent sur la voie de gauche de l'autoroute avec un écart de moins de 10 mètres, correspondant à 0,3 seconde de temps de parcours ( ATF 131 IV 133 ),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 11 mai 2010). En revanche, le conducteur commet en tout cas une faute moyennement grave lorsque, à une vitesse de 85 km/h, il suit un autre usager à une distance de 8 mètres ( ATF 126 II 358 ), ou lorsqu'à une vitesse de 87 km/h, il suit un véhicule à une distance de 5 à 10 mètres (arrêt 6A.54/2004 du 3 février 2005).</w:t>
      </w:r>
    </w:p>
    <w:p>
      <w:r>
        <w:rPr>
          <w:b/>
        </w:rPr>
        <w:t>E. 3.2</w:t>
      </w:r>
    </w:p>
    <w:p>
      <w:r>
        <w:t>En l'occurrence, l'intimée - tout comme le Tribunal cantonal - ne conteste pas que le cas présent est plus grave que les deux derniers arrêts cités ( ATF 126 II 358 et arrêt 6A.54/2004 du 3 février 2005) et est en tous points comparable aux trois premiers ( ATF 131 IV 133 ; arrêts 1C_356/2009 et 1C_7/2010). Elle se prévaut en revanche du fait que la faute a été commise avant l'arrêt précité du Tribunal fédéral daté du 12 février 2010: le Tribunal cantonal ne pouvait ainsi guère retenir cette jurisprudence à sa charge et c'était à juste titre qu'il s'était référé à deux de ses arrêts pour qualifier l'infraction de moyennement grave, tout en précisant qu'à l'avenir un telle conduite pouvait être qualifiée de violation grave des règles de la circulation routière. Cet argument manque toutefois de pertinence, dans la mesure où, le 11 février 2005, un arrêt publié ( ATF 131 IV 133 précité) avait déjà qualifié un comportement comparable de faute grave.</w:t>
      </w:r>
    </w:p>
    <w:p>
      <w:r>
        <w:t>L'instance précédente et l'intimée relèvent ensuite que la solution retenue dans l'arrêt attaqué permet de respecter le principe de l'égalité de traitement par rapport à une affaire récente jugée par le Tribunal cantonal. Cette motivation ne peut pas non plus être suivie. En effet, le cas présent ne peut pas être assimilé à l'affaire citée par le juge cantonal: l'infraction y avait été qualifiée de moyennement grave au motif que le tronçon sur lequel l'intéressé avait roulé en maintenant une distance insuffisante avec le véhicule précédent n'avait pas pu être établi par les dénonciateurs, alors qu'en l'espèce le tronçon parcouru par l'intimée est établi à environ 500 mètres.</w:t>
      </w:r>
    </w:p>
    <w:p>
      <w:r>
        <w:t>En effet, selon les constatations liant l'autorité administrative (cf. consid. 2), l'intimée a suivi à une vitesse de 100 km/h environ, sur 500 mètres, le véhicule qui la précédait, à une distance située entre 5 et 10 mètres. Dans le cas le plus favorable, l'intervalle est de 0,3 seconde, soit moins du quart de l'intervalle à respecter en vertu des règles de prudence rappelées ci-dessus. Ce laps de temps est beaucoup trop court pour permettre au conducteur de réagir en cas de besoin. A l'instar des comportements des intéressés dans les causes précitées ( ATF 131 IV 133 ; arrêts 1C_356/2009 et 1C_7/2010) qui ont été qualifiés de fautes graves, il se justifie d'appliquer en l'espèce l' art. 16c al. 2 let. a LCR .</w:t>
      </w:r>
    </w:p>
    <w:p>
      <w:r>
        <w:rPr>
          <w:b/>
        </w:rPr>
        <w:t>E. 4</w:t>
      </w:r>
    </w:p>
    <w:p>
      <w:r>
        <w:t>Le recours est par conséquent admis. L'arrêt attaqué est annulé et la décision du SAN du 18 décembre 2009 est confirmée. L'intimée, qui succombe, doit supporter les frais judiciaires ( art. 66 al. 1 LTF ). La cause est renvoyée au Tribunal cantonal pour nouvelle décision sur les frais et les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