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273/2022 vom 8. Februar 2023</w:t>
      </w:r>
    </w:p>
    <w:p>
      <w:r>
        <w:t>Bundesgericht, 2023-02-08, FR</w:t>
      </w:r>
    </w:p>
    <w:p>
      <w:r>
        <w:rPr>
          <w:b/>
        </w:rPr>
        <w:t xml:space="preserve">Quelle: </w:t>
      </w:r>
      <w:r>
        <w:t>https://mcp.opencaselaw.ch/entscheid/bger_1C_273_2022</w:t>
      </w:r>
    </w:p>
    <w:p>
      <w:r>
        <w:t>FR: TF 1C 273/2022 du 8 février 2023</w:t>
      </w:r>
    </w:p>
    <w:p>
      <w:r>
        <w:t>IT: TF 1C 273/2022 del 8 febbraio 2023</w:t>
      </w:r>
    </w:p>
    <w:p>
      <w:pPr>
        <w:pStyle w:val="Heading2"/>
      </w:pPr>
      <w:r>
        <w:t>Regeste</w:t>
      </w:r>
    </w:p>
    <w:p>
      <w:r>
        <w:t>Conservation de données personnelles relatives au séquestre d'une arme | Droit fondamental</w:t>
      </w:r>
    </w:p>
    <w:p>
      <w:pPr>
        <w:pStyle w:val="Heading2"/>
      </w:pPr>
      <w:r>
        <w:t>Erwägungen</w:t>
      </w:r>
    </w:p>
    <w:p>
      <w:r>
        <w:rPr>
          <w:b/>
        </w:rPr>
        <w:t>E. 1</w:t>
      </w:r>
    </w:p>
    <w:p>
      <w:r>
        <w:t>Le recours en matière de droit public est dirigé contre une décision finale ( art. 90 LTF ) rendue dans une cause de droit public relative à la protection des données ( art. 82 let. a LTF ) par une autorité de dernière instance cantonale ( art. 86 al. 1 let . d LTF). Le recourant a pris part à la procédure devant l'autorité précédente ( art. 89 al. 1 let. a LTF ) et est particulièrement touché par l'arrêt attaqué qui rejette l'ensemble de ses prétentions en rapport avec le traitement de ses données personnelles. Il dispose ainsi d'un intérêt digne de protection à l'annulation ou à la modification de cette décision (art. 89 al. 1 let. b et c LTF).</w:t>
      </w:r>
    </w:p>
    <w:p>
      <w:r>
        <w:rPr>
          <w:b/>
        </w:rPr>
        <w:t>E. 2</w:t>
      </w:r>
    </w:p>
    <w:p>
      <w:r>
        <w:t>Le recourant se plaint d'une violation de l' art. 32b al. 5 LArm . Il soutient en particulier que la CDAP s'est contredite en admettant que les données relatives au séquestre d'une arme ne devaient pas être contenues dans le système d'information électronique cantonal tout en confirmant la décision de la Police cantonale. La CDAP a clairement écarté l'application de l' art. 32b al. 5 LArm en soulignant que, comme le relève le recourant, les données relatives au séquestre d'une arme ne font pas partie de celles qui doivent être contenues dans le système d'information électronique cantonal en cause selon l' art. 32b al. 5 LArm . Elle a indiqué que cette disposition n'était pas applicable car il s'agissait d'un séquestre de nature préventive et temporaire, qui n'avait pas été suivi de la confiscation définitive de l'arme et n'avait eu aucune incidence sur l'identité et le numéro d'enregistrement du propriétaire de l'arme ( art. 32b al. 5 let. a LArm ). La conclusion à laquelle arrive l'autorité précédente, selon laquelle le traitement des données concernées par l'autorité intimée ne peut en conséquence se fonder directement sur la LArm, est également celle défendue par le recourant, de sorte que l'arrêt cantonal est confirmé sur ce point.</w:t>
      </w:r>
    </w:p>
    <w:p>
      <w:r>
        <w:rPr>
          <w:b/>
        </w:rPr>
        <w:t>E. 3</w:t>
      </w:r>
    </w:p>
    <w:p>
      <w:r>
        <w:t>Le recourant se plaint de la violation du principe de la bonne foi et du principe de la proportionnalité. Il soutient que l'autorité précédente a refusé de trancher la question de savoir si la conservation du dossier du recourant se justifiait au regard du principe de la proportionnalité et dans quel type de dossier ces données devaient être conservées.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ATF 147 IV 73 consid. 4.1.2; 143 IV 241 consid. 2.3.1). A cela s'ajoute que,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134 III 379 consid. 1.2). A part les restrictions à des droits fondamentaux ( art. 36 al. 3 Cst. ), le Tribunal fédéral n'intervient en cas de violation du principe de proportionnalité que si la mesure de droit cantonal est manifestement disproportionnée et qu'elle viole simultanément l'interdiction de l'arbitraire ( ATF 134 I 153 consid. 4). Le Tribunal fédéral n'entre en matière sur de tels moyens que s'ils ont été invoqués et motivés de manière précise ( art. 106 al. 2 LTF ; ATF 147 IV 73 consid. 4.1.2; 143 IV 500 consid. 1.1). Les critiques de nature appellatoire sont irrecevables ( ATF 147 IV 73 consid. 4.1.2; 145 IV 154 consid. 1.1).</w:t>
      </w:r>
    </w:p>
    <w:p>
      <w:r>
        <w:rPr>
          <w:b/>
        </w:rPr>
        <w:t>E. 3.2</w:t>
      </w:r>
    </w:p>
    <w:p>
      <w:r>
        <w:t>En l'occurrence, le recourant se plaint de l'établissement inexact des faits sans indiquer quels seraient les faits établis en violation du droit ou de manière manifestement inexacte. Il se contente de faire référence à l' art. 95 LTF sans être en mesure de mentionner les éléments qui n'auraient pas été pris en considération dans la décision entreprise ou établis en contradiction manifeste avec le dossier. Ces critiques ont un caractère purement appellatoire de sorte qu'elles sont irrecevables.</w:t>
      </w:r>
    </w:p>
    <w:p>
      <w:r>
        <w:rPr>
          <w:b/>
        </w:rPr>
        <w:t>E. 3.3</w:t>
      </w:r>
    </w:p>
    <w:p>
      <w:r>
        <w:t>Le recourant soutient également que son recours aurait été rejeté en violation des règles de la bonne foi et de la proportionnalité. En l'occurrence, la motivation du recourant n'est pas mise en perspective avec la nature juridique de ces deux principes, de telle sorte qu'elle est insuffisante au regard des exigences de l' art. 106 al. 2 LTF . Le recours est donc irrecevable. Cela étant, il n'y a violation ni du principe de la bonne foi, ni de celui de la proportionnalité. S'agissant du premier principe, la cour cantonale n'a pas adopté de comportement qui pourrait être qualifié de déloyal. Elle a clairement expliqué dans sa décision que les données faisant l'objet de la procédure étaient des données sensibles au sens de l'art. 5 al. 2 de la loi cantonale sur la protection des données personnelles du 11 septembre 2007 (LPrD, RS/VD 172.65). Elle est arrivée à la conclusion que la LArm (art. 32a al. 2 et 32b al. 5 LArm) ne pouvait servir de base légale formelle à la décision de la police cantonale. Elle a en revanche considéré que la décision contestée trouvait son fondement à l'art. 5 al. 2 let. b LPrD. Ce faisant, elle n'a pas adopté de comportement qui pourrait être considéré comme contraire à la bonne foi et le recourant ne le démontre d'ailleurs pas. La cour cantonale a également respecté le principe de la proportionnalité. L'art. 5 al. 2 let. b LPrD prévoit que les données sensibles peuvent être traitées si "l'accomplissement d'une tâche clairement définie dans une loi au sens formel l'exige absolument", soit, dans le cas d'espèce, s'agissant d'archives intermédiaires, en tant qu'il serait juridiquement ou administrativement nécessaire de les conserver pour attester le traitement du séquestre de l'arme du recourant (art. 3 let. b de la loi cantonale sur l'archivage du 14 juin 2011 [LArch RS/VD 432.11]), en tenant notamment compte dans ce cadre du principe de la proportionnalité (art. 7 LPrD). Or, comme la CDAP l'a souligné, il existe un intérêt public prépondérant à pouvoir attester, sous l'angle juridique et administratif, non seulement des raisons du séquestre de l'arme du recourant « mais également et surtout » des motifs pour lesquels son arme a pu lui être restituée. En cas de nécessité, l'autorité doit pouvoir légitimer son action en lien avec la mise sous séquestre administratif puis les motifs qui ont permis la restitution de l'arme. Cet intérêt public est prépondérant à l'intérêt privé du recourant à la destruction de ces données. Par ailleurs, s'agissant d'archives intermédiaires, ces données ne sont en principe ni exploitées régulièrement ni par un grand nombre de personnes, mais uniquement dans un cas concret, les autorités cantonales pouvant être appelées à délivrer de plus amples informations sur le traitement de ce séquestre. Ainsi, c'est de façon purement appellatoire que le recourant, se plaint de la violation des principes de la bonne foi et de la proportionnalité dont, au demeurant, les conditions de leur violation ne sont pas réalisées.</w:t>
      </w:r>
    </w:p>
    <w:p>
      <w:r>
        <w:rPr>
          <w:b/>
        </w:rPr>
        <w:t>E. 4</w:t>
      </w:r>
    </w:p>
    <w:p>
      <w:r>
        <w:t>Le recours doit par conséquent être rejeté, en tant qu'il est recevable. Compte tenu de la situation financière du recourant, il ne sera pas perçu de frais judiciaires (cf.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