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1C_273/2019 vom 23. Mai 2019</w:t>
      </w:r>
    </w:p>
    <w:p>
      <w:r>
        <w:t>Bundesgericht, 2019-05-23, FR</w:t>
      </w:r>
    </w:p>
    <w:p>
      <w:r>
        <w:rPr>
          <w:b/>
        </w:rPr>
        <w:t xml:space="preserve">Quelle: </w:t>
      </w:r>
      <w:r>
        <w:t>https://mcp.opencaselaw.ch/entscheid/bger_1C_273_2019</w:t>
      </w:r>
    </w:p>
    <w:p>
      <w:r>
        <w:t>FR: TF 1C_273/2019 du 23 mai 2019</w:t>
      </w:r>
    </w:p>
    <w:p>
      <w:r>
        <w:t>IT: TF 1C_273/2019 del 23 maggio 2019</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w:t>
      </w:r>
    </w:p>
    <w:p>
      <w:r>
        <w:t>Contrairement à ce que laisse penser le texte français de l' art. 84 al. 2 LTF et conformément aux textes allemand et italien de cette disposition, la violation de principes fondamentaux dans la procédure en Suisse peut également ouvrir la voie du recours en matière de droit public (cf. arrêt 1C_393/2018 du 14 décembre 2018 consid. 1.3 destiné à la publication).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arrêt 1C_393/2018 précité, consid. 1.4 et 1.5).</w:t>
      </w:r>
    </w:p>
    <w:p>
      <w:r>
        <w:rPr>
          <w:b/>
        </w:rPr>
        <w:t>E. 2</w:t>
      </w:r>
    </w:p>
    <w:p>
      <w:r>
        <w:t>La présente cause porte sur la transmission de renseignements touchant le domaine secret, de sorte que la première condition posée à l' art. 84 al. 1 LTF est réalisée. Se référant à son argumentation au fond, la recourante estime que le refus d'entrer en matière sur son recours serait constitutif d'un formalisme excessif. Cela ne suffit toutefois pas pour admettre l'existence d'un cas particulièrement important; sur le vu des principes rappelés ci-dessus, la partie recourante doit démontrer que l'on se trouve en présence d'une violation importante et suffisamment crédible de ses droits de partie, faute de quoi le recours serait systématiquement ouvert pour toute irrégularité formelle, ce que l' art. 84 LTF tend précisément à éviter.</w:t>
      </w:r>
    </w:p>
    <w:p>
      <w:r>
        <w:rPr>
          <w:b/>
        </w:rPr>
        <w:t>E. 2.1</w:t>
      </w:r>
    </w:p>
    <w:p>
      <w:r>
        <w:t>L'interdiction du formalisme excessif impose à l'autorité, en présence d'un mémoire signé par un mandataire ne justifiant pas de ses pouvoirs, d'accorder un délai convenable pour réparer ce vice. Cette obligation est consacrée en procédure administrative fédérale (art. 11 al. 2, 23, 52 al. 2 et 3 PA applicables par renvoi des art. 37 al. 2 let. a et 39 al. 2 let. b LOAP), ainsi qu'à art. 42 al. 5 LTF pour ce qui concerne le Tribunal fédéral. En revanche, lorsque la procuration produite à la demande de l'instance de recours se révèle encore insuffisante à justifier les pouvoirs du mandataire, ni la loi ni la constitution n'imposent la fixation d'un délai supplémentaire pour y remédier, en particulier dans une cause d'entraide judiciaire régie par le principe de célérité et lorsque la partie recourante agit par l'entremise d'un mandataire professionnel censé reconnaître d'emblée la portée juridique des documents produits.</w:t>
      </w:r>
    </w:p>
    <w:p>
      <w:r>
        <w:rPr>
          <w:b/>
        </w:rPr>
        <w:t>E. 2.2</w:t>
      </w:r>
    </w:p>
    <w:p>
      <w:r>
        <w:t>Dans ces circonstances, la prétendue violation de l'interdiction du formalisme excessif ne saurait constituer un cas particulièrement important au sens de l' art. 84 LTF , de sorte que le recours apparaît d'emblée irrecevable ( art. 109 al. 1 LTF ).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