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1C_271/2008 vom 8. Januar 2009</w:t>
      </w:r>
    </w:p>
    <w:p>
      <w:r>
        <w:t>Bundesgericht, 2009-01-08, DE</w:t>
      </w:r>
    </w:p>
    <w:p>
      <w:r>
        <w:rPr>
          <w:b/>
        </w:rPr>
        <w:t xml:space="preserve">Quelle: </w:t>
      </w:r>
      <w:r>
        <w:t>https://mcp.opencaselaw.ch/entscheid/bger_1C_271_2008</w:t>
      </w:r>
    </w:p>
    <w:p>
      <w:r>
        <w:t>FR: TF 1C_271/2008 du 8 janvier 2009</w:t>
      </w:r>
    </w:p>
    <w:p>
      <w:r>
        <w:t>IT: TF 1C_271/2008 del 8 gennaio 2009</w:t>
      </w:r>
    </w:p>
    <w:p>
      <w:pPr>
        <w:pStyle w:val="Heading2"/>
      </w:pPr>
      <w:r>
        <w:t>Erwägungen</w:t>
      </w:r>
    </w:p>
    <w:p>
      <w:r>
        <w:rPr>
          <w:b/>
        </w:rPr>
        <w:t>E. 1</w:t>
      </w:r>
    </w:p>
    <w:p>
      <w:r>
        <w:t>Gegen den angefochtenen Entscheid ist gemäss Art. 82 lit. a BGG die Beschwerde in öffentlich-rechtlichen Angelegenheiten gegeben.</w:t>
      </w:r>
    </w:p>
    <w:p>
      <w:r>
        <w:t>Das Strassenverkehrsamt ist nach Art. 89 Abs. 2 lit. d BGG i.V.m. Art. 24 Abs. 2 lit. a SVG zur Beschwerde berechtigt.</w:t>
      </w:r>
    </w:p>
    <w:p>
      <w:r>
        <w:t>Die weiteren Sachurteilsvoraussetzungen geben zu keinen Bemerkungen Anlass. Auf die Beschwerde ist einzutreten.</w:t>
      </w:r>
    </w:p>
    <w:p>
      <w:r>
        <w:rPr>
          <w:b/>
        </w:rPr>
        <w:t>E. 2.1</w:t>
      </w:r>
    </w:p>
    <w:p>
      <w:r>
        <w:t>Das Strassenverkehrsamt bringt vor, weder die vom Beschwerdegegner hervorgerufene Gefährdung der Sicherheit anderer noch sein Verschulden seien gering. Damit könne kein leichter Fall nach Art. 16a Abs. 1 lit. a SVG mehr angenommen werden. Vielmehr liege ein mittelschwerer Fall nach Art. 16b Abs. 1 lit. a SVG vor. Der Führerausweis sei daher dem Beschwerdegegner gemäss Art. 16b Abs. 2 lit. a SVG für mindestens einen Monat zu entziehen.</w:t>
      </w:r>
    </w:p>
    <w:p>
      <w:r>
        <w:rPr>
          <w:b/>
        </w:rPr>
        <w:t>E. 2.2.1</w:t>
      </w:r>
    </w:p>
    <w:p>
      <w:r>
        <w:t>Das Gesetz unterscheidet zwischen der leichten, mittelschweren und schweren Widerhandlung ( Art. 16a-c SVG ).</w:t>
      </w:r>
    </w:p>
    <w:p>
      <w:r>
        <w:t>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w:t>
      </w:r>
    </w:p>
    <w:p>
      <w:r>
        <w:t>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w:t>
      </w:r>
    </w:p>
    <w:p>
      <w:r>
        <w:t>Gemäss Art. 16c SVG begeht eine schwere Widerhandlung, wer durch grobe Verletzung von Verkehrsregeln eine ernstliche Gefahr für die Sicherheit anderer hervorruft oder in Kauf nimmt (Abs. 1 lit. a). Nach einer schweren Widerhandlung wird der Führerausweis für mindestens drei Monate entzogen (Abs. 2 lit. a).</w:t>
      </w:r>
    </w:p>
    <w:p>
      <w:r>
        <w:rPr>
          <w:b/>
        </w:rPr>
        <w:t>E. 2.2.2</w:t>
      </w:r>
    </w:p>
    <w:p>
      <w:r>
        <w:t>Die mittelschwere Widerhandlung nach Art. 16b Abs. 1 lit. a SVG stellt einen Auffangtatbestand dar. Eine mittelschwere Widerhandlung liegt vor, wenn nicht alle privilegierenden Elemente einer leichten Widerhandlung nach Art. 16a Abs. 1 lit. a SVG und nicht alle qualifizierenden Elemente einer schweren Widerhandlung nach Art. 16c Abs. 1 lit. a SVG gegeben sind (Urteil 6A.16/2006 vom 6. April 2006 E. 2.1.1, in: JdT 2006 I S. 442; Botschaft vom 31. März 1999 zur Änderung des Strassenverkehrsgesetzes, BBl 1999 4487).</w:t>
      </w:r>
    </w:p>
    <w:p>
      <w:r>
        <w:rPr>
          <w:b/>
        </w:rPr>
        <w:t>E. 2.2.3</w:t>
      </w:r>
    </w:p>
    <w:p>
      <w:r>
        <w:t>Gemäss Art. 16a Abs. 1 lit. a SVG setzt die Annahme einer leichten Widerhandlung voraus, dass der Lenker durch Verletzung von Verkehrsregeln eine geringe Gefahr für die Sicherheit anderer hervorgerufen hat und ihn dabei nur ein leichtes Verschulden trifft. Nach der Rechtsprechung müssen eine geringe Gefahr und ein leichtes Verschulden kumulativ gegeben sein (Urteile 1C_3/2008 vom 18. Juli 2008 E. 5.1; 1C_75/2007 vom 13. September 2007 E. 3.1; 6A.89/2006 vom 19. Juli 2007 E. 2.3; vgl. ebenso BGE 133 II 58 E. 5.5 S. 63). Diese Ansicht wird im Schrifttum geteilt (CÉDRIC MIZEL, Les nouvelles dispositions légales sur le retrait du permis de conduire, RDAF 2004 S. 388 N. 45).</w:t>
      </w:r>
    </w:p>
    <w:p>
      <w:r>
        <w:t>Die Vorinstanz vertritt unter Hinweis auf einen Entscheid des Kassationshofes aus dem Jahr 1999 ( BGE 125 II 561 ) eine andere Auffassung. Danach ist selbst bei einer grossen Verkehrsgefährdung die Annahme eines leichten Falles und damit eine Verwarnung möglich, wenn den Lenker ein leichtes Verschulden trifft und er über einen langjährigen ungetrübten automobilistischen Leumund verfügt (E. 2 S. 565 ff.). Dieser Entscheid ist überholt. Die darin gegebene Auslegung stützt sich auf aArt. 31 der Verordnung vom 27. Oktober 1976 über die Zulassung von Personen und Fahrzeugen zum Strassenverkehr (VZV; SR 741.51). Diese Bestimmung erwähnte lediglich das Verschulden und den automobilistischen Leumund als wesentliche Elemente zur Beurteilung des leichten Falles und enthielt keine Anhaltspunkte, wonach die Schwere der Gefährdung als selbständiges Beurteilungsmerkmal herangezogen werden sollte (E. 2a S. 566). Art. 31 VZV wurde mit der am 1. Januar 2005 in Kraft getretenen Revision des Strassenverkehrsrechts geändert und betrifft heute die Informationspflicht, ist also im vorliegenden Zusammenhang nicht mehr von Bedeutung. Die Voraussetzungen einer leichten Widerhandlung, bei der eine blosse Verwarnung möglich ist, umschreibt nunmehr im Einzelnen Art. 16a Abs. 1 lit. a SVG . Danach stellt die Gefährdung der Sicherheit anderer einen wesentlichen und eigenständigen Gesichtspunkt dar. Die Auffassung der Vorinstanz widerspricht dem klaren Wortlaut von Art. 16a Abs. 1 lit. a SVG . Nach der Rechtsprechung darf die Auslegung vom klaren Wortlaut eines Rechtssatzes nur abweichen, wenn triftige Gründe dafür bestehen, dass er nicht den wahren Sinn der Bestimmung wiedergibt ( BGE 131 II 217 E. 2.3 S. 221, mit Hinweisen). Solche Gründe nennt die Vorinstanz nicht und sind nicht ersichtlich. Bei Art. 16a Abs. 1 lit. a SVG handelt es sich um kein gesetzgeberisches Versehen. Wie in der Botschaft zur Änderung des Strassenverkehrsgesetzes vom 31. März 1999 (a.a.O. 4489) ausgeführt wird, ist eine mittelschwere Widerhandlung nach Art. 16b SVG gegeben, wenn das Verschulden gross, die Gefährdung aber gering oder umgekehrt das Verschulden gering und die Gefährdung gross ist. Der Gesetzgeber hat somit bewusst dem Gesichtspunkt der Verkehrsgefährdung ein höheres Gewicht beigemessen (vgl. dazu Cédric Mizel, De la nature renforcée par le nouveau droit de mesure préventive et éducative du retrait admonitoire du permis de conduire, AJP 2007 S. 1361 Ziff. VI. und S. 1362 f. Ziff. 2 f.). Er hat bei der Revision das Recht des Warnungsentzugs von strafrechtlichen Erwägungen stärker verselbständigt und im Hinblick auf die Erhöhung der Verkehrssicherheit und damit die weitere Senkung der Zahl der Toten und Verletzten im Strassenverkehr - teilweise massiv - verschärft ( BGE 128 II 173 E. 3c S. 177, mit Hinweis); dies nicht nur gegenüber Rückfälligen, sondern auch Ersttätern ( BGE 133 II 331 E. 4.3 S. 336 f.). Daran ist das Bundesgericht gebunden ( Art. 190 BV ; BGE 132 II 234 E. 3.2 S. 238/239).</w:t>
      </w:r>
    </w:p>
    <w:p>
      <w:r>
        <w:rPr>
          <w:b/>
        </w:rPr>
        <w:t>E. 2.3</w:t>
      </w:r>
    </w:p>
    <w:p>
      <w:r>
        <w:t>Der Führer muss das Fahrzeug ständig so beherrschen, dass er seinen Vorsichtspflichten nachkommen kann ( Art. 31 Abs. 1 SVG ). Er muss seine Aufmerksamkeit der Strasse und dem Verkehr zuwenden (Art. 3 Abs. 1 der Verkehrsregelnverordnung vom 13. November 1962 [VRV; SR 741.11]). Er hat gegenüber allen Strassenbenützern einen ausreichenden Abstand zu wahren, namentlich beim Hintereinanderfahren ( Art. 34 Abs. 4 SVG ). Auch bei überraschendem Bremsen des voranfahrenden Fahrzeugs muss er rechtzeitig halten können ( Art. 12 Abs. 1 VRV ).</w:t>
      </w:r>
    </w:p>
    <w:p>
      <w:r>
        <w:t>Der Beschwerdegegner hat diese Verkehrsregeln unstreitig verletzt. Bei der polizeilichen Befragung gab er an, vor ihm sei ein Personenwagen gefahren, der kurz vor der Garage nach rechts in eine Seitenstrasse abgebogen sei. Er habe diesem Personenwagen nachgeschaut. Deshalb habe er nicht sofort bemerkt, dass ein anderer Personenwagen vor dem Fussgängerstreifen abgebremst habe. Als er wieder geradeaus auf die Strasse geschaut habe, habe er sofort eine Vollbremsung eingeleitet. Er habe eine leichte Kollision jedoch nicht mehr verhindern können. Seiner Schuld sei er sich bewusst.</w:t>
      </w:r>
    </w:p>
    <w:p>
      <w:r>
        <w:t>Wie das Strassenverkehrsamt zutreffend darlegt, stellt der vom Beschwerdegegner gelenkte Lastwagen wegen des grossen Betriebsgewichts und der senkrechten Fahrzeugfront eine erhöhte Gefährdung dar. Die Kollision mit einem schwächeren Verkehrsteilnehmer geht aufgrund der physikalischen Gesetze zu dessen Ungunsten aus. Zwar wurde bei der hier zu beurteilenden Auffahrkollision niemand verletzt. Der Beschwerdegegner ist jedoch in den vor ihm abbremsenden Personenwagen geprallt. Damit hat er dessen Lenker konkret gefährdet. Überdies hat er die Fussgängerin, die den Fussgängerstreifen überqueren wollte, zumindest abstrakt gefährdet. Auffahrunfälle können insbesondere bei den Insassen des voranfahrenden Fahrzeugs zu schweren Verletzungen führen. Das gilt namentlich dann, wenn es sich beim hinteren Fahrzeug um einen Lastwagen handelt. Eine typische Verletzung bei Auffahrunfällen stellt ein Schleudertrauma der Halswirbelsäule dar (vgl. etwa BGE 134 III 489 ; 130 V 35 ; 127 V 165 ). Dieses kann gravierende gesundheitliche Folgen haben. Angesichts dessen kann die vom Beschwerdegegner geschaffene Gefahr für die Sicherheit anderer nicht mehr als leicht eingestuft werden. Die Annahme einer leichten Widerhandlung gemäss Art. 16a Abs. 1 lit. a SVG ist deshalb ausgeschlossen.</w:t>
      </w:r>
    </w:p>
    <w:p>
      <w:r>
        <w:t>Ob, wie das Strassenverkehrsamt geltend macht, auch das Verschulden des Beschwerdegegners nicht mehr als leicht zu beurteilen gewesen wäre, kann offen bleiben.</w:t>
      </w:r>
    </w:p>
    <w:p>
      <w:r>
        <w:rPr>
          <w:b/>
        </w:rPr>
        <w:t>E. 2.4</w:t>
      </w:r>
    </w:p>
    <w:p>
      <w:r>
        <w:t>Nach dem Gesagten ist hier eine mittelschwere Widerhandlung gemäss Art. 16b Abs. 1 lit. a SVG anzunehmen. Auf eine solche Widerhandlung erkannte das Bundesgericht auch im Urteil 1C_75/2007 vom 13. September 2007, das einen weitgehend vergleichbaren Auffahrunfall betraf (E. 3.2).</w:t>
      </w:r>
    </w:p>
    <w:p>
      <w:r>
        <w:t>Die Bejahung einer mittelschweren Widerhandlung steht nicht in Widerspruch zur Strafverfügung. Der Strafrichter hat den Beschwerdegegner in Anwendung von Art. 90 Ziff. 1 SVG gebüsst. Diese Bestimmung umfasst die leichte und die mittelschwere Widerhandlung ( BGE 128 II 139 E. 2c S. 143; Urteil 6A.30/2002 vom 30. Juli 2002 E. 1.2).</w:t>
      </w:r>
    </w:p>
    <w:p>
      <w:r>
        <w:t>Der Führerausweis ist dem Beschwerdegegner danach gemäss Art. 16b Abs. 2 lit. a SVG für mindestens einen Monat zu entziehen. Diese Mindestentzugsdauer darf gemäss Art. 16 Abs. 3 Satz 2 SVG auch bei einem Berufschauffeur nicht unterschritten werden ( BGE 132 II 234 E. 2 S. 235 ff.).</w:t>
      </w:r>
    </w:p>
    <w:p>
      <w:r>
        <w:t>Das Strassenverkehrsamt beantragt, den Führerausweis für die Mindestdauer zu entziehen. Darüber darf das Bundesgericht nicht hinausgehen ( Art. 107 Abs. 1 BGG ).</w:t>
      </w:r>
    </w:p>
    <w:p>
      <w:r>
        <w:t>Die Sache ist somit spruchreif und das Bundesgericht kann selber entscheiden ( Art. 107 Abs. 2 BGG ). Dem Beschwerdegegner wird der Führerausweis für die Dauer eines Monats entzogen.</w:t>
      </w:r>
    </w:p>
    <w:p>
      <w:r>
        <w:rPr>
          <w:b/>
        </w:rPr>
        <w:t>E. 3</w:t>
      </w:r>
    </w:p>
    <w:p>
      <w:r>
        <w:t>Der Beschwerdegegner unterliegt. Er hat die Bundesrechtsverletzung durch die Vorinstanz jedoch nicht zu vertreten. Deshalb werden ihm keine Kosten auferlegt ( Art. 66 Abs. 1 Satz 2 BGG ). Anspruch auf eine Parteientschädigung für das bundesgerichtliche Verfahren hat er nicht ( Art. 68 Abs. 1 und 2 BGG ).</w:t>
      </w:r>
    </w:p>
    <w:p>
      <w:r>
        <w:t>Die Akten sind der Vorinstanz zur Neuregelung der Kosten- und Entschädigungsfolgen des kantonalen Verfahrens zu überweisen (vgl. Art. 67 und Art. 68 Abs. 5 BGG ; Urteil 6A.19/2006 vom 16. Mai 2006 E. 3; Thomas Geiser, in: Basler Kommentar zum Bundesgerichtsgesetz, 2008, Art. 67 BGG N. 1 und 5 sowie Art. 68 BGG N. 24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