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270/2022 vom 31. Mai 2022</w:t>
      </w:r>
    </w:p>
    <w:p>
      <w:r>
        <w:t>Bundesgericht, 2022-05-31, IT</w:t>
      </w:r>
    </w:p>
    <w:p>
      <w:r>
        <w:rPr>
          <w:b/>
        </w:rPr>
        <w:t xml:space="preserve">Quelle: </w:t>
      </w:r>
      <w:r>
        <w:t>https://mcp.opencaselaw.ch/entscheid/bger_1C_270_2022</w:t>
      </w:r>
    </w:p>
    <w:p>
      <w:r>
        <w:t>FR: TF 1C 270/2022 du 31 mai 2022</w:t>
      </w:r>
    </w:p>
    <w:p>
      <w:r>
        <w:t>IT: TF 1C 270/2022 del 31 maggio 2022</w:t>
      </w:r>
    </w:p>
    <w:p>
      <w:pPr>
        <w:pStyle w:val="Heading2"/>
      </w:pPr>
      <w:r>
        <w:t>Regeste</w:t>
      </w:r>
    </w:p>
    <w:p>
      <w:r>
        <w:t>Licenza edilizia; istanza di revisione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Dipartimento del territorio, Ufficio delle domande di costruzione, al Consiglio di Stato e al Tribunale amministrativo del Cantone Ticino. Losanna, 31 maggio 2022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