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1C_270/2018 vom 6. November 2018</w:t>
      </w:r>
    </w:p>
    <w:p>
      <w:r>
        <w:t>Bundesgericht, 2018-11-06, FR</w:t>
      </w:r>
    </w:p>
    <w:p>
      <w:r>
        <w:rPr>
          <w:b/>
        </w:rPr>
        <w:t xml:space="preserve">Quelle: </w:t>
      </w:r>
      <w:r>
        <w:t>https://mcp.opencaselaw.ch/entscheid/bger_1C_270_2018</w:t>
      </w:r>
    </w:p>
    <w:p>
      <w:r>
        <w:t>FR: TF 1C_270/2018 du 6 novembre 2018</w:t>
      </w:r>
    </w:p>
    <w:p>
      <w:r>
        <w:t>IT: TF 1C_270/2018 del 6 novembre 2018</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la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L'entrée en vigueur, au 1er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tous les faits se sont déroulés sous l'empire de l'ancien droit, de sorte que l'aLN s'applique.</w:t>
      </w:r>
    </w:p>
    <w:p>
      <w:r>
        <w:rPr>
          <w:b/>
        </w:rPr>
        <w:t>E. 3</w:t>
      </w:r>
    </w:p>
    <w:p>
      <w:r>
        <w:t>Le recourant conteste avoir obtenu la naturalisation par des déclarations mensongères et soutient qu'il avait la volonté de former une communauté stable avec son épouse et qu'au moment de la signature de la déclaration il était persuadé de vivre une crise passagère pouvant être surmontée par le couple.</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3.1. Conformément à l'art. 41 al. 1 aLN, le SEM peut, avec l'assentiment de l'autorité du canton d'origine, annuler la naturalisation facilitée obtenue par des déclarations mensongères ou par la dissimulation de faits essentiels.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(cf. arrêts du Tribunal fédéral 1C_601/2017 du 1er mars 2018 consid. 3.1.1; 1C_588/2017 du 30 novembre 2017 consid. 5.1).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(cf. arrêts du Tribunal fédéral 1C_601/2017 du 1er mars 2018 consid. 3.1.1; 1C_588/2017 du 30 novembre 2017 consid. 5.1). [LINEFEED]</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(cf. arrêts du Tribunal fédéral 1C_601/2017 du 1er mars 2018 consid. 3.1.1; 1C_588/2017 du 30 novembre 2017 consid. 5.1). [LINEFEED] [LINEFEED]La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(cf. arrêts du Tribunal fédéral 1C_601/2017 du 1er mars 2018 consid. 3.1.1; 1C_588/2017 du 30 novembre 2017 consid. 5.1). [LINEFEED] [LINEFEED]La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[LINEFEED]</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(cf. arrêts du Tribunal fédéral 1C_601/2017 du 1er mars 2018 consid. 3.1.1; 1C_588/2017 du 30 novembre 2017 consid. 5.1). [LINEFEED] [LINEFEED]La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[LINEFEED] [LINEFEED]D'après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3.2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3.3</w:t>
      </w:r>
    </w:p>
    <w:p>
      <w:r>
        <w:t>En l'espèce, le Tribunal administratif fédéral a considéré que l'union des époux n'était plus constitutive d'une communauté conjugale effective et stable lorsque le recourant a signé, le 29 février 2012, la déclaration concernant la communauté conjugale, relevant notamment que son ex-épouse avait déclaré que le couple était séparé déjà depuis l'automne 2011 et qu'elle avait signé la déclaration précitée par pragmatisme. De surcroît, une requête commune en divorce avait été déposée le 11 août 2012 et le divorce prononcé le 12 novembre 2012; selon le jugement de divorce, le couple vivait séparé depuis le mois de mars 2012, soit deux mois avant l'acquisition de la naturalisation facilitée. Selon l'instance précédente, l'enchaînement rapide des événements précités était de nature à fonder la présomption que cette naturalisation avait été acquise au moyen de déclarations mensongères. Selon cette autorité, cette présomption était renforcée par d'autres éléments au dossier. Elle soulignait en particulier que le recourant est un ancien requérant d'asile débouté, revenu illégalement en Suisse, ayant contracté un premier mariage avec une ressortissante suisse, lui permettant de bénéficier d'un titre de séjour durable en Suisse. Le 25 mai 2004, il s'était remarié avec une ressortissante suisse, à peine deux mois après son premier divorce.</w:t>
      </w:r>
    </w:p>
    <w:p>
      <w:r>
        <w:t>En l'occurrence, la présomption de fait n'est pas discutée par le recourant et elle peut effectivement se fonder sur un enchaînement chronologique rapide des événements, en particulier sur la séparation définitive des époux déjà deux mois avant l'octroi de la naturalisation (cf. notamment arrêts du Tribunal fédéral 1C_362/2017 du 12 octobre 2017 consid. 2.3; 1C_503/2015 du 21 janvier 2016 consid. 3.2 et les arrêts cités).</w:t>
      </w:r>
    </w:p>
    <w:p>
      <w:r>
        <w:t>Conformément à la jurisprudence précitée, il convient d'examiner si le recourant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3.4</w:t>
      </w:r>
    </w:p>
    <w:p>
      <w:r>
        <w:t>Dans son écriture, le recourant soutient qu'il formait une communauté conjugale effective et stable avec son épouse au moment de la naturalisation. Il explique qu'il n'était pas conscient de la gravité de ses problèmes conjugaux au moment de la signature de la déclaration et que seule son épouse envisageait le divorce à ce moment-là.</w:t>
      </w:r>
    </w:p>
    <w:p>
      <w:r>
        <w:t>Les explications du recourant ne sont toutefois pas convaincantes et ne permettent pas de renverser la présomption établie. L'instance précédente a indiqué que l'ex-épouse, interrogée sur les circonstances de la désunion, avait mentionné la perte d'emploi du recourant, le décès de son père, leurs disputes incessantes et son infidélité. La question du divorce avait été abordée pour la première fois en juin 2011. Selon l'expérience générale de la vie et le cours ordinaire des choses, les difficultés pouvant surgir entre époux après plusieurs années de vie commune, à tout le moins dans une communauté conjugale tournée vers l'avenir, ne sauraient entraîner la désunion qu'au terme d'un processus prolongé de dégradation des rapports conjugaux, entrecoupé de tentatives de réconciliation (arrêts du Tribunal fédéral 1C_493/2010 du 28 février 2011 consid. 6 et les réf. cit.; 1C_469/2010 du 21 février 2011 consid. 5), à moins que ne survienne un événement extraordinaire susceptible de conduire à une dégradation rapide du lien conjugal. On constate dès lors, avec le Tribunal administratif fédéral, que l'ex-épouse a exclu la survenance d'un événement extraordinaire pouvant expliquer la soudaine déliquescence du lien conjugal. Au contraire, elle a admis avoir signé la déclaration par pragmatisme et confirmé que les époux étaient déjà séparés au moment de la décision de naturalisation.</w:t>
      </w:r>
    </w:p>
    <w:p>
      <w:r>
        <w:t>Comme l'a souligné l'instance inférieure, le fait que le recourant et son ex-épouse aient accepté d'introduire, le 11 août 2012, une procédure de divorce par consentement mutuel, après avoir signé une convention sur les effets accessoires du divorce, constitue un élément supplémentaire de nature à discréditer la thèse défendue par le recourant, selon laquelle il pensait encore pouvoir sauver son couple. Le recourant n'a jamais allégué, ni a fortiori démontré, que le couple aurait pris des mesures concrètes en vue de tenter de sauver leur mariage, avant ou après l'introduction de la procédure de divorce. Il est patent que le recourant n'aurait pas souscrit aussi rapidement au divorce souhaité par son ex-épouse si, comme il le prétend, l'union formée par le couple avait été harmonieuse et s'il tenait réellement à ce mariage (arrêt du Tribunal fédéral 1C_421/2008 du 15 décembre 2008 consid. 4.4.2).</w:t>
      </w:r>
    </w:p>
    <w:p>
      <w:r>
        <w:t>Enfin, l'autorité inférieure a indiqué que le recourant avait obtenu la naturalisation facilitée le 20 avril 2012 alors qu'il était déjà séparé de son ex-épouse, à tout le moins depuis le mois de mars 2012. Dans cette hypothèse, il eût été tenu d'informer spontanément l'autorité de la séparation, obligation qui lui avait été expressément rappelée dans le formulaire concernant la déclaration relative à la communauté conjugale qu'il a contresignée le 29 février 2012. Ce même formulaire l'avertissait également des conséquences de l'éventuelle dissimulation d'un tel fait essentiel, à savoir l'annulation au sens de l'art. 41 de la loi sur la nationalité.</w:t>
      </w:r>
    </w:p>
    <w:p>
      <w:r>
        <w:t>Quant aux arguments du recourant liés à son intégration en Suisse, ils ne sont pas pertinents pour l'examen de la question de savoir s'il y a eu, ou non, obtention frauduleuse de la naturalisation (arrêts du Tribunal fédéral 1C_362/2017 du 12 octobre 2017 consid. 2.4, 1C_503/2015 du 21 janvier 2016 consid. 3.3).</w:t>
      </w:r>
    </w:p>
    <w:p>
      <w:r>
        <w:rPr>
          <w:b/>
        </w:rPr>
        <w:t>E. 3.5</w:t>
      </w:r>
    </w:p>
    <w:p>
      <w:r>
        <w:t>Par conséquent, les conditions d'application de l'art. 41 aLN sont réunies et le Tribunal administratif fédéral n'a pas violé le droit fédéral en confirmant l'annulation de la naturalisation facilitée qui avait été octroyée au recourant.</w:t>
      </w:r>
    </w:p>
    <w:p>
      <w:r>
        <w:rPr>
          <w:b/>
        </w:rPr>
        <w:t>E. 4</w:t>
      </w:r>
    </w:p>
    <w:p>
      <w:r>
        <w:t>Enfin, le fait que le recourant est en Suisse depuis plus de douze ans et qu'il puisse solliciter la naturalisation ordinaire en vertu des dispositions applicables de la loi sur la nationalité suisse, n'empêche pas le retrait de la naturalisation facilitée lorsque celle-ci a été obtenue frauduleusement. La naturalisation ordinaire et la naturalisation facilitée se distinguent en effet non seulement dans leurs conditions d'octroi, mais aussi quant à la procédure applicable et aux autorités compétentes. Par conséquent, les conditions d'octroi de la naturalisation ordinaire ne peuvent pas être examinées dans la présente procédure (arrêts 1C_264/2011 du 23 août 2011 consid. 4 et 1C_292/2010 du 5 août 2010 consid. 5.2).</w:t>
      </w:r>
    </w:p>
    <w:p>
      <w:r>
        <w:rPr>
          <w:b/>
        </w:rPr>
        <w:t>E. 5</w:t>
      </w:r>
    </w:p>
    <w:p>
      <w:r>
        <w:t>Il s'en suit que le recours est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