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267/2008 vom 27. Oktober 2008</w:t>
      </w:r>
    </w:p>
    <w:p>
      <w:r>
        <w:t>Bundesgericht, 2008-10-27, FR</w:t>
      </w:r>
    </w:p>
    <w:p>
      <w:r>
        <w:rPr>
          <w:b/>
        </w:rPr>
        <w:t xml:space="preserve">Quelle: </w:t>
      </w:r>
      <w:r>
        <w:t>https://mcp.opencaselaw.ch/entscheid/bger_1C_267_2008</w:t>
      </w:r>
    </w:p>
    <w:p>
      <w:r>
        <w:t>FR: TF 1C 267/2008 du 27 octobre 2008</w:t>
      </w:r>
    </w:p>
    <w:p>
      <w:r>
        <w:t>IT: TF 1C 267/2008 del 27 ottobre 2008</w:t>
      </w:r>
    </w:p>
    <w:p>
      <w:pPr>
        <w:pStyle w:val="Heading2"/>
      </w:pPr>
      <w:r>
        <w:t>Regeste</w:t>
      </w:r>
    </w:p>
    <w:p>
      <w:r>
        <w:t>réduction du taux d'activité | Fonction publique</w:t>
      </w:r>
    </w:p>
    <w:p>
      <w:pPr>
        <w:pStyle w:val="Heading2"/>
      </w:pPr>
      <w:r>
        <w:t>Erwägungen</w:t>
      </w:r>
    </w:p>
    <w:p>
      <w:r>
        <w:rPr>
          <w:b/>
        </w:rPr>
        <w:t>E. 1</w:t>
      </w:r>
    </w:p>
    <w:p>
      <w:r>
        <w:t>La décision attaquée a été rendue en matière de rapports de travail de droit public au sens de l' art. 83 let . g LTF. Le recourant cherche principalement à obtenir un traitement plus élevé ou le versement d'une indemnité correspondant à la perte de salaire pendant la durée de sa formation. Il s'agit donc d'une contestation de nature pécuniaire, de sorte que le motif d'exclusion de l' art. 83 let . g LTF n'entre pas en considération. La valeur litigieuse atteint le seuil de 15'000 fr. ouvrant la voie du recours en matière de droit public dans ce domaine (art. 51 al. 2 et 85 al. 1 let. b LTF).</w:t>
      </w:r>
    </w:p>
    <w:p>
      <w:r>
        <w:rPr>
          <w:b/>
        </w:rPr>
        <w:t>E. 2</w:t>
      </w:r>
    </w:p>
    <w:p>
      <w:r>
        <w:t>Dans son mémoire, le recourant évoque les art. 6 CEDH et 30 Cst. pour se plaindre du fait que sa cause n'a pas pu être soumise à un tribunal. S'il est vrai que le recourant se plaint principalement d'arbitraire, l'essentiel de son argumentaire peut néanmoins être rattaché au grief précité. On peut donc admettre que ce moyen répond aux exigences de motivation des art. 42 al. 2 et 106 al. 2 LTF (cf. ATF 133 II 249 consid. 1.4.2 p. 254; 130 I 26 consid. 2.1. p. 31, 258 consid. 1.3 p. 261 s.; 129 I 113 consid. 2.1 p. 120 et les références).</w:t>
      </w:r>
    </w:p>
    <w:p>
      <w:r>
        <w:rPr>
          <w:b/>
        </w:rPr>
        <w:t>E. 2.1</w:t>
      </w:r>
    </w:p>
    <w:p>
      <w:r>
        <w:t>Le droit d'avoir accès à un tribunal est garanti non seulement par les art. 30 Cst. et 6 CEDH invoqués par le recourant, mais également par l' art. 29a Cst. En vigueur depuis le 1er janvier 2007, cette disposition donne à toute personne le droit à ce que sa cause soit jugée par une autorité judiciaire. La Confédération et les cantons peuvent, par la loi, exclure l'accès au juge dans des cas exceptionnels. Cette norme étend le contrôle judiciaire à toutes les matières, y compris aux actes de l'administration, en établissant une garantie générale de l'accès au juge ( ATF 130 I 312 consid. 4.2 p. 327 et les références). Selon la jurisprudence, elle est concrétisée par l' art. 86 al. 2 LTF , aux termes duquel les cantons doivent instituer des tribunaux supérieurs qui statuent comme autorités précédant immédiatement le Tribunal fédéral, sauf dans les cas où une autre loi fédérale prévoit qu'une décision d'une autre autorité judiciaire peut faire l'objet d'un recours devant le Tribunal fédéral. L' art. 130 al. 3 LTF impartit aux cantons un délai de deux ans pour édicter les dispositions d'exécution y relatives. Avant l'expiration de ce délai, le grief lié à l'absence d'accès à un tribunal supérieur n'est en principe pas fondé (arrêts 2C_64/2007 du 29 mars 2007 consid. 3.2, 1D_3/2008 du 10 juillet 2008 consid. 3.2; Denise Brühl-Moser, in Basler Kommentar, Bundesgerichtsgesetz, 2008, n. 5 ad art. 130 LTF ), de sorte que le recourant ne pourrait pas se prévaloir de l' art. 29a Cst. pour exiger que sa cause soit traitée par une telle autorité. En l'état, la présente cause doit par conséquent être examinée uniquement à la lumière des art. 6 CEDH et 30 Cst.</w:t>
      </w:r>
    </w:p>
    <w:p>
      <w:r>
        <w:rPr>
          <w:b/>
        </w:rPr>
        <w:t>E. 2.2</w:t>
      </w:r>
    </w:p>
    <w:p>
      <w:r>
        <w:t>L' art. 6 par. 1 CEDH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Quant à l' art. 30 al. 1 Cst. , il prévoit que toute personne dont la cause doit être jugée dans une procédure judiciaire a droit à ce que sa cause soit portée devant un tribunal établi par la loi, compétent, indépendant et impartial. Il faut entendre par tribunal un organe juridictionnel compétent pour résoudre un litige sur la base de normes juridiques à l'issue d'une procédure organisée. Il doit s'agir en outre d'une autorité dont l'indépendance, notamment à l'égard de l'exécutif et des parties, ainsi que l'impartialité, sont favorisées par des règles relatives au statut personnel de ses membres et à la procédure qu'elle doit suivre pour rendre ses décisions ( ATF 133 IV 278 consid. 2.2 p. 284; 126 I 228 consid. 2a/bb p. 230 s.; ANDREAS AUER ET AL., Droit constitutionnel suisse, vol. II, 2e éd. 2006, p. 571).</w:t>
      </w:r>
    </w:p>
    <w:p>
      <w:r>
        <w:rPr>
          <w:b/>
        </w:rPr>
        <w:t>E. 2.3</w:t>
      </w:r>
    </w:p>
    <w:p>
      <w:r>
        <w:t>La jurisprudence de la Cour européenne des droits de l'homme relative à l' art. 6 par. 1 CEDH a récemment étendu le champ d'application de cette disposition en ce qui concerne les employés publics. Elle s'est écartée de l'ancien "critère fonctionnel", selon lequel étaient soustraits au champ d'application de l' art. 6 par. 1 CEDH "les litiges des agents publics dont l'emploi était caractéristique des activités spécifiques de l'administration publique dans la mesure où celle-ci agit comme détentrice de la puissance publique chargée de la sauvegarde des intérêts généraux de l'Etat ou des autres collectivités publiques" (arrêt Pellegrin contre France du 8 décembre 1999, Recueil CourEDH 1999-VIII § 66). Désormais, il y a une présomption que l' art. 6 par. 1 CEDH s'applique dans les contestations relatives aux employés publics. Pour que ces litiges soient soustraits à la protection offerte par cette norme, deux conditions doivent être remplies. En premier lieu, le droit interne de l'Etat concerné doit avoir expressément exclu l'accès à un tribunal s'agissant du poste ou de la catégorie de salariés en question. En second lieu, cette dérogation doit reposer sur des motifs objectifs liés à l'intérêt de l'Etat. Le simple fait que l'intéressé relève d'un secteur ou d'un service qui participe à l'exercice de la puissance publique n'est pas en soi déterminant. Il faut encore que l'objet du litige soit lié à l'exercice de l'autorité étatique, de sorte que les conflits ordinaires du travail - tels ceux portant sur un salaire, une indemnité ou d'autres droits de ce type - ne sont en principe pas soustraits aux garanties de l'article 6 CEDH (arrêt Vilho Eskelinen et autres contre Finlande du 19 avril 2007, § 62).</w:t>
      </w:r>
    </w:p>
    <w:p>
      <w:r>
        <w:rPr>
          <w:b/>
        </w:rPr>
        <w:t>E. 2.4</w:t>
      </w:r>
    </w:p>
    <w:p>
      <w:r>
        <w:t>En l'occurrence, les conditions posées par la jurisprudence susmentionnée pour soustraire un employé public à la protection offerte par l' art. 6 CEDH ne sont pas réunies. En effet, le droit applicable n'exclut pas expressément, pour des motifs qui seraient liés à l'intérêt de l'Etat, l'accès à un tribunal pour le poste du recourant ou pour la catégorie de salariés à laquelle il appartient. Or, le recourant s'est vu refuser l'accès au Tribunal administratif en vertu de dispositions cantonales de procédure, qui limitent cette voie de droit en matière de rapports de travail de droit public aux cas concernant une sanction disciplinaire, une résiliation des rapports de service ou un certificat de travail. Son recours a été déclaré irrecevable et n'a pas été transmis à une autre autorité judiciaire. De plus, il n'apparaît pas que sa cause puisse être examinée par un autre tribunal au niveau cantonal, le Tribunal administratif et le Conseil d'Etat ne soutenant d'ailleurs pas le contraire. Par ailleurs, sous l'angle de l' art. 6 par. 1 CEDH , le Tribunal fédéral ne saurait être la seule autorité judiciaire compétente pour connaître du litige. Son pouvoir d'examen est en effet fortement limité en ce qui concerne les faits de la cause, puisqu'il statue en principe sur la base des faits établis par l'autorité précédente (art. 105 al. 1 et 118 al. 1 LTF). Il convient enfin de relever que, même si le législateur cantonal avait prévu une dérogation, l'objet du litige - à savoir le montant du salaire - est manifestement étranger à l'exercice de l'autorité étatique, de sorte qu'il n'y a pas de raison objective de soustraire cette cause aux garanties de l' art. 6 CEDH . Dans ces conditions, il y a lieu de constater que la cause du recourant n'a pas été examinée par un tribunal, de sorte que l' art. 6 par. 1 CEDH a été violé. Il se justifie donc de renvoyer l'affaire au Tribunal administratif pour qu'il statue sur le fond du litige ou qu'il transmette la cause à une autre autorité judiciaire répondant aux exigences posées par l' art. 30 al. 1 Cst.</w:t>
      </w:r>
    </w:p>
    <w:p>
      <w:r>
        <w:rPr>
          <w:b/>
        </w:rPr>
        <w:t>E. 3</w:t>
      </w:r>
    </w:p>
    <w:p>
      <w:r>
        <w:t>Il s'ensuit que le recours doit être admis et l'arrêt attaqué annulé, l'affaire étant renvoyée au Tribunal administratif pour nouvelle décision dans le sens des considérants. Il n'y a pas lieu de percevoir des frais judiciaires ( art. 66 al. 4 LTF ). Le recourant, assisté d'un avocat, a droit à des dépens, à la charge de l'Etat de Genève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