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1C_266/2022 vom 26. September 2022</w:t>
      </w:r>
    </w:p>
    <w:p>
      <w:r>
        <w:t>Bundesgericht, 2022-09-26, DE</w:t>
      </w:r>
    </w:p>
    <w:p>
      <w:r>
        <w:rPr>
          <w:b/>
        </w:rPr>
        <w:t xml:space="preserve">Quelle: </w:t>
      </w:r>
      <w:r>
        <w:t>https://mcp.opencaselaw.ch/entscheid/bger_1C_266_2022</w:t>
      </w:r>
    </w:p>
    <w:p>
      <w:r>
        <w:t>FR: TF 1C_266/2022 du 26 septembre 2022</w:t>
      </w:r>
    </w:p>
    <w:p>
      <w:r>
        <w:t>IT: TF 1C_266/2022 del 26 settembre 2022</w:t>
      </w:r>
    </w:p>
    <w:p>
      <w:pPr>
        <w:pStyle w:val="Heading2"/>
      </w:pPr>
      <w:r>
        <w:t>Erwägungen</w:t>
      </w:r>
    </w:p>
    <w:p>
      <w:r>
        <w:rPr>
          <w:b/>
        </w:rPr>
        <w:t>E. 1</w:t>
      </w:r>
    </w:p>
    <w:p>
      <w:r>
        <w:t>Angefochten ist ein kantonal letztinstanzlicher Entscheid betreffend einen Führerausweisentzug. Dagegen steht grundsätzlich die Beschwerde in öffentlich-rechtlichen Angelegenheiten an das Bundesgericht offen ( Art. 82 lit. a, Art. 86 Abs. 1 lit. d sowie Art. 90 BGG ); ein Ausnahmegrund gemäss Art. 83 BGG ist nicht gegeben. Die Beschwerdeführerin ist als Inhaberin des entzogenen Führerausweises und Adressatin des angefochtenen Urteils nach Art. 89 Abs. 1 BGG zur Beschwerde legitimiert.</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S. 144).</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S. 356; 137 III 226 E. 4.2 S. 234; je mit Hinweisen). Eine entsprechende Rüge ist substanziiert vorzubringen (vgl. Art. 106 Abs. 2 BGG ; BGE 141 IV 317 E. 5.4 S. 324; 137 III 226 E. 4.2 S. 234; je mit Hinweisen).</w:t>
      </w:r>
    </w:p>
    <w:p>
      <w:r>
        <w:rPr>
          <w:b/>
        </w:rPr>
        <w:t>E. 3</w:t>
      </w:r>
    </w:p>
    <w:p>
      <w:r>
        <w:t>Die Beschwerdeschrift enthält in weiten Teilen Ausführungen, die sich nicht mit dem angefochtenen Entscheid auseinandersetzen oder für den vorliegenden Streitfall nicht von Bedeutung sind. In diesem Umfang erfüllt die Beschwerdebegründung die gesetzlichen Anforderungen von Art. 42 Abs. 2 BGG nicht, weshalb insoweit auf die Beschwerde nicht einzutreten ist. Darauf wird nachfolgend, soweit relevant, zurückzukommen sein.</w:t>
      </w:r>
    </w:p>
    <w:p>
      <w:r>
        <w:rPr>
          <w:b/>
        </w:rPr>
        <w:t>E. 4</w:t>
      </w:r>
    </w:p>
    <w:p>
      <w:r>
        <w:t>Die Beschwerdeführerin bestreitet im Wesentlichen den von der Vorinstanz festgestellten Sachverhalt und bringt sinngemäss vor, diese - wie auch die Erstinstanz - hätte nicht auf die tatsächlichen Feststellungen der Strafverfolgungsbehörden abstellen dürfen.</w:t>
      </w:r>
    </w:p>
    <w:p>
      <w:r>
        <w:rPr>
          <w:b/>
        </w:rPr>
        <w:t>E. 4.1</w:t>
      </w:r>
    </w:p>
    <w:p>
      <w:r>
        <w:t>Der Beschwerdeführerin wird von der Staatsanwaltschaft Basel-Landschaft im Strafbefehl vom 10. August 2021 vorgehalten, als Lenkerin eines Personenwagens am 18. März 2021 um 13.34 Uhr in Duggingen auf der Apfelseestrasse in Fahrtrichtung Angenstein ihren Blick während der Fahrt auf das Mobiltelefon in ihrer Hand über dem Steuerrad gewandt zu haben. Dadurch abgelenkt, sei sie aufgrund pflichtwidrigen Nichtbeherrschens des Fahrzeugs und mangelnder Aufmerksamkeit auf Höhe der Rudolf-Steiner Schule mit der Hälfte ihres Fahrzeugs auf die Gegenfahrbahn geraten. Ein korrekt entgegenkommender Fahrzeuglenker habe einen starken Schlenker nach rechts auf die Grünfläche machen müssen, um eine Kollision zu vermeiden. Die Staatsanwaltschaft Basel-Landschaft stützte sich dabei auf den Polizeirapport der Polizei Basel-Landschaft vom 26. April 2021. Diese hatte die Beschwerdeführerin einvernommen und als Auskunftspersonen einen am Vorfall beteiligten Automobilisten sowie dessen Mutter als Beifahrerin befragt.</w:t>
      </w:r>
    </w:p>
    <w:p>
      <w:r>
        <w:rPr>
          <w:b/>
        </w:rPr>
        <w:t>E. 4.2</w:t>
      </w:r>
    </w:p>
    <w:p>
      <w:r>
        <w:t>Die Beschwerdeführerin bestreitet den festgestellten Sachverhalt, indem sie vorbringt, ihr Blick auf das Handy habe auf einer sehr übersichtlichen, freien Strecke ohne andere Verkehrsteilnehmer zwischen zwei Wiesen in Dornach stattgefunden. Dabei sei sie etwas vom rechten Strassenrand gegen die Strassenmitte gelangt (maximal 40 cm). Das dunkelblaue Auto sei erst am Ende der Birseckstrasse neben dem Schulhaus aufgetaucht, d.h. mindestens 300 bis 400 m entfernt, und habe ihr Auto erst nach der Schule und dem Kindergarten gekreuzt, wobei zu diesem Zeitpunkt keinerlei Kollisionsgefahr durch Ablenkung mehr bestanden habe, "höchstens durch den Schreck aufgrund des heftigen Hupens des jungen Mannes". Mit ihren Ausführungen vermag die Beschwerdeführerin die Richtigkeit des festgestellten Sachverhalts nicht in Zweifel zu ziehen oder Gründe vorzubringen, die eine Abweichung vom festgestellten Sachverhalt rechtfertigen würden. Vielmehr stellt sie lediglich ihre eigene Sicht derjenigen der Vorinstanz (und der Staatsanwaltschaft) gegenüber, ohne aufzuzeigen, dass der Vorinstanz eine Rechtsverletzung unterlaufen sei, indem sie - wie bereits die Motorfahrzeugkontrolle des Kantons Solothurn - auf den im Strafbefehl geschilderten Sachverhalt abstellte.</w:t>
      </w:r>
    </w:p>
    <w:p>
      <w:r>
        <w:rPr>
          <w:b/>
        </w:rPr>
        <w:t>E. 4.3</w:t>
      </w:r>
    </w:p>
    <w:p>
      <w:r>
        <w:t>Nach der Rechtsprechung des Bundesgerichts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S. 101 f.; 136 II 447 E. 3.1 S. 451; 124 II 103 E. 1c/aa S. 106; je mit Hinweisen). Bestehen klare Anhaltspunkte, dass die Sachverhaltsfeststellung des Strafgerichts unrichtig ist, darf die Verwaltungsbehörde nicht ohne Weiteres darauf abstellen; vielmehr hat sie nötigenfalls selber Beweiserhebungen durchzuführen (vgl. die vorgenannten Urteile; Urteile 1C_170/2021 vom 27. Juli 2022 E. 4.1; 1C_589/2021 vom 5. Mai 2022 E. 3.1; 1C_491/2021 vom 17. Februar 2022 E. 3.4).</w:t>
      </w:r>
    </w:p>
    <w:p>
      <w:r>
        <w:t>Die Verwaltungsbehörde ist unter bestimmten Umständen auch an die sachverhaltlichen Feststellungen eines Strafentscheids gebunden, der nicht im ordentlichen Verfahren, sondern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(vgl. BGE 123 II 97 E. 3c/aa S. 103 f.; Urteil 1C_170/2021 vom 27. Juli 2022 E. 4.1).</w:t>
      </w:r>
    </w:p>
    <w:p>
      <w:r>
        <w:rPr>
          <w:b/>
        </w:rPr>
        <w:t>E. 4.4</w:t>
      </w:r>
    </w:p>
    <w:p>
      <w:r>
        <w:t>Vorliegend wurde die Beschwerdeführerin von der Motorfahrzeugkontrolle des Kantons Solothurn mit Schreiben vom 17. Mai 2021 darüber informiert, dass ein Administrativverfahren gegen sie wegen eines Vorfalls am 18. März 2021 in Duggingen eingeleitet worden sei. Das Verfahren sei bis zum Vorliegen eines rechtskräftigen Entscheids der Strafbehörde sistiert. Zudem wurde sie explizit darauf aufmerksam gemacht, dass allfällige Einwände bereits im Strafverfahren anzubringen seien. Die Beschwerdeführerin durfte somit nicht das Administrativverfahren abwarten, um ihre Einwände gegen die tatsächlichen Feststellungen der strafrechtlichen Behörden zu erheben. Vielmehr hätte sie dies nach Treu und Glauben bereits im Strafverfahren tun und die dort nötigen Rechtsmittel ergreifen müssen.</w:t>
      </w:r>
    </w:p>
    <w:p>
      <w:r>
        <w:rPr>
          <w:b/>
        </w:rPr>
        <w:t>E. 4.5</w:t>
      </w:r>
    </w:p>
    <w:p>
      <w:r>
        <w:t>Der Einwand der Beschwerdeführerin, sie hätte sich gegen den Strafbefehl nicht wehren können, weil dieser ihr nur einmal in den Schulferien zugestellt und nach einer Woche von der Post retourniert worden sei, ist unbegründet. Gemäss Art. 85 Abs. 4 lit. a StPO gilt eine eingeschriebene Postsendung, die nicht abgeholt worden ist, am siebten Tag nach dem erfolglosen Zustellungsversuch als zugestellt, sofern die Person mit einer Zustellung rechnen musste (sog. Zustellfiktion). Die Begründung eines Verfahrensverhältnisses verpflichtet die Parteien, sich nach Treu und Glauben zu verhalten und unter anderem dafür zu sorgen, dass ihnen Entscheide zugestellt werden, die das Verfahren betreffen (vgl. hierzu: BGE 141 II 429 E. 3.1 S. 431 f.; Urteil 6B_704/2015 vom 16. Februar 2016 E. 2.3). Vorliegend wusste die Beschwerdeführerin spätestens seit dem Schreiben der Motorfahrzeugkontrolle des Kantons Solothurn vom 17. Mai 2021, dass ein Strafverfahren hängig war (vgl. E. 4.4 hiervor). Sie war daher verpflichtet, nach Treu und Glauben dafür zu sorgen, dass ihr der Strafbefehl zugestellt werden kann, beispielsweise durch Mitteilung an die Behörde oder Ernennung eines Stellvertreters bei längeren Ortsabwesenheiten (vgl. BGE 139 IV 228 E. 1.1 S. 230; 119 V 89 E. 4b/aa S. 94; Urteil 6B_704/2015 vom 16. Februar 2016 E. 2.3; je mit Hinweisen).</w:t>
      </w:r>
    </w:p>
    <w:p>
      <w:r>
        <w:rPr>
          <w:b/>
        </w:rPr>
        <w:t>E. 4.6</w:t>
      </w:r>
    </w:p>
    <w:p>
      <w:r>
        <w:t>Nach dem Gesagten ist somit nicht zu beanstanden, dass das Verwaltungsgericht den von der Staatsanwalt festgestellten Sachverhalt als verbindlich beurteilt hat.</w:t>
      </w:r>
    </w:p>
    <w:p>
      <w:r>
        <w:rPr>
          <w:b/>
        </w:rPr>
        <w:t>E. 5</w:t>
      </w:r>
    </w:p>
    <w:p>
      <w:r>
        <w:t>Die Beschwerdeführerin rügt weiter, dass wegen desselben Vorfalls zwei separate Verfahren vor unterschiedlichen kantonalen Behörden durchgeführt worden seien und macht diesbezüglich sinngemäss eine Verletzung des Grundsatzes "ne bis in idem" (Doppelbestrafungsverbot) geltend. Nach der Rechtsprechung des Bundesgerichts verstösst es nicht gegen den Grundsatz "ne bis in idem", wenn für die gleiche SVG-Widerhandlung in zwei verschiedenen Verfahren eine Strafe und eine Administrativmassnahme (wie z.B. Warnungsentzug des Führerausweises) ausgesprochen wird (vgl. BGE 137 I 363 E. 2.4 S. 370; 128 II 133 E. 3b/aa S. 135; Urteil 1C_26/2018 vom 15. Juni 2018 E. 6.2 ff. mit Hinweisen). Der Einwand der Beschwerdeführerin erweist sich somit als unbegründet.</w:t>
      </w:r>
    </w:p>
    <w:p>
      <w:r>
        <w:t>Dass vorliegend in zwei verschiedenen Kantonen Verfahren durchgeführt wurden, ist entgegen dem Vorbringen der Beschwerdeführerin ebenfalls nicht zu beanstanden. Der Kanton Basel-Landschaft war für das Strafverfahren zuständig, weil sich der Vorfall in Duggingen, Kanton Basel-Landschaft, ereignet hat (vgl. Art. 31 Abs. 1 StPO ), wohingegen das Administrativverfahren korrekterweise durch die zuständige Behörde des Wohnsitzkantons geführt wurde (vgl. Art. 22 Abs. 1 SVG ).</w:t>
      </w:r>
    </w:p>
    <w:p>
      <w:r>
        <w:rPr>
          <w:b/>
        </w:rPr>
        <w:t>E. 6</w:t>
      </w:r>
    </w:p>
    <w:p>
      <w:r>
        <w:t>Was die rechtliche Würdigung des Sachverhalts und insbesondere die Einstufung des Vorfalls als schwere Wiederhandlung gegen die Strassenverkehrsvorschriften betrifft, fehlen entsprechende Rügen der Beschwerdeführerin gänzlich. Eine Auseinandersetzung mit dem angefochtenen Entscheid findet nicht statt. Ihre Begründung genügt damit den Rüge- und Begründungsanforderungen nach Art. 42 Abs. 2 BGG nicht. Zudem ist auch nicht ersichtlich, weshalb die Qualifikation des Vorfalls als schwere Widerhandlung im Sinne von Art. 16c Abs. 1 lit. c SVG nicht bundesrechtskonform sein sollte. Vorliegend wird nicht nur ein Blick auf das Handy sanktioniert, sondern vielmehr ein kurzzeitiges Nichtbeherrschen des Fahrzeugs und mangelnde Aufmerksamkeit; und dies in der unmittelbaren Nähe einer Schule, wo eine erhöhte Aufmerksamkeit erwartet werden kann.</w:t>
      </w:r>
    </w:p>
    <w:p>
      <w:r>
        <w:rPr>
          <w:b/>
        </w:rPr>
        <w:t>E. 7</w:t>
      </w:r>
    </w:p>
    <w:p>
      <w:r>
        <w:t>Die Beschwerdeführerin beantragt eine Reduktion der Dauer des Führerausweisentzugs mit der Begründung, für die Berufsausübung dringend auf ein Auto angewiesen zu sein. Es ist erstellt, dass ihr in den vorangegangenen fünf Jahren bereits zweimal wegen mittelschweren Widerhandlungen der Führerausweis entzogen worden ist. Dafür ist ihr der Führerausweis für mindestens zwölf Monate zu entziehen ( Art. 16c Abs. 2 lit. c SVG ). Bei dieser Entzugsdauer handelt es sich um eine Mindestentzugsdauer, die nach dem Willen des Gesetzgebers und nach der Rechtsprechung nicht unterschritten werden darf ( Art. 16 Abs. 3 Satz 2 SVG ; BGE 135 II 334 E. 2.2 S. 336 f.). Die von den Vorinstanzen auf das gesetzliche Minimum festgesetzte Entzugsdauer erweist sich demnach auch unter Berücksichtigung der geltend gemachten beruflichen Massnahmeempfindlichkeit als bundesrechtskonform. Entsprechend erweist sich die Beschwerde auch in diesem Punkt und damit insgesamt als unbegründet.</w:t>
      </w:r>
    </w:p>
    <w:p>
      <w:r>
        <w:rPr>
          <w:b/>
        </w:rPr>
        <w:t>E. 8</w:t>
      </w:r>
    </w:p>
    <w:p>
      <w:r>
        <w:t>Nach dem Ausgeführten ist die Beschwerde abzuweisen, soweit darauf einzutreten ist. Bei diesem Verfahrensausgang unterliegt die Beschwerdeführerin, weshalb sie grundsätzlich für die Gerichtskosten aufzukommen hat (vgl. Art. 66 Abs. 1 BGG ). Dem Gesuch um unentgeltliche Rechtspflege kann nicht entsprochen werden, da sich das Rechtsmittel als von vornherein aussichtslos erweist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