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1C_266/2008 vom 13. Juni 2008</w:t>
      </w:r>
    </w:p>
    <w:p>
      <w:r>
        <w:t>Bundesgericht, 2008-06-13, DE</w:t>
      </w:r>
    </w:p>
    <w:p>
      <w:r>
        <w:rPr>
          <w:b/>
        </w:rPr>
        <w:t xml:space="preserve">Quelle: </w:t>
      </w:r>
      <w:r>
        <w:t>https://mcp.opencaselaw.ch/entscheid/bger_1C_266_2008</w:t>
      </w:r>
    </w:p>
    <w:p>
      <w:r>
        <w:t>FR: TF 1C_266/2008 du 13 juin 2008</w:t>
      </w:r>
    </w:p>
    <w:p>
      <w:r>
        <w:t>IT: TF 1C_266/2008 del 13 giugno 2008</w:t>
      </w:r>
    </w:p>
    <w:p>
      <w:pPr>
        <w:pStyle w:val="Heading2"/>
      </w:pPr>
      <w:r>
        <w:t>Erwägungen</w:t>
      </w:r>
    </w:p>
    <w:p>
      <w:r>
        <w:rPr>
          <w:b/>
        </w:rPr>
        <w:t>E. 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Der Begriff des schweren Mangels des ausländischen Verfahrens ist restriktiv auszulegen ( BGE 133 IV 271 E. 2.2.2 S. 274, mit Hinweis).</w:t>
      </w:r>
    </w:p>
    <w:p>
      <w:r>
        <w:t>Art. 84 BGG bezweckt die starke Begrenzung des Zugangs zum Bundesgericht im Bereich der internationalen Rechtshilfe in Strafsachen ( BGE 133 IV 131 E. 3 S. 132; 133 IV 132 E. 1.3 S. 134; 133 IV 271 E. 2.2.2 S. 274). Ein besonders bedeutender Fall kann auch bei einer Auslieferung nur ausnahmsweise angenommen werden. In der Regel stellen sich insoweit keine Rechtsfragen, die der Klärung durch das Bundesgericht bedürfen, und kommt den Fällen auch sonst wie keine besondere Tragweite zu (BGE 1C_205/2007 vom 18. Dezember 2007 E. 1.3.4).</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Gemäss Art. 108 BGG entscheidet der Präsident oder die Präsidentin der Abteilung im vereinfachten Verfahren unter anderem über Nichteintreten auf Beschwerden, die offensichtlich keine hinreichende Begründung (Art. 42 Abs. 2) enthalten (Abs. 1 lit. b). Er oder sie kann einen anderen Richter oder eine andere Richterin damit betrauen (Abs. 2). Die Begründung des Entscheids beschränkt sich auf eine kurze Angabe des Unzulässigkeitsgrundes (Abs. 3).</w:t>
      </w:r>
    </w:p>
    <w:p>
      <w:r>
        <w:rPr>
          <w:b/>
        </w:rPr>
        <w:t>E. 2</w:t>
      </w:r>
    </w:p>
    <w:p>
      <w:r>
        <w:t>Wie der Anwalt in seiner Eingabe (S. 2 und 3) darlegt, wurde der angefochtene Entscheid am 27. Mai 2008 dem Beschwerdeführer eröffnet. Verhielte es sich so, wäre die Beschwerdefrist von 10 Tagen ( Art. 100 Abs. 2 lit. b BGG ) am Freitag, 6. Juni 2008, abgelaufen. Die am 9. Juni 2008 der Post übergebene Eingabe des Anwalts wäre somit verspätet.</w:t>
      </w:r>
    </w:p>
    <w:p>
      <w:r>
        <w:t>Wie es sich damit verhält, braucht jedoch nicht näher untersucht zu werden, weshalb sich der Beizug der Akten erübrigt. Auf die Beschwerde kann schon deshalb nicht eingetreten werden, weil weder in der vom Beschwerdeführer persönlich verfassten Eingabe noch in jener seines Anwalts eine Begründung dafür enthalten ist, weshalb es sich hier um einen besonders bedeutenden Fall nach Art. 84 BGG handeln soll. Dies ist im Übrigen auch nicht ohne weiteres ersichtlich.</w:t>
      </w:r>
    </w:p>
    <w:p>
      <w:r>
        <w:t>Die Beschwerde genügt den Begründungsanforderungen von Art. 42 Abs. 2 BGG offensichtlich nicht. Damit ist nach Art. 108 Abs. 1 lit. b BGG der Einzelrichter zum Entscheid befugt.</w:t>
      </w:r>
    </w:p>
    <w:p>
      <w:r>
        <w:rPr>
          <w:b/>
        </w:rPr>
        <w:t>E. 3</w:t>
      </w:r>
    </w:p>
    <w:p>
      <w:r>
        <w:t>Da die Beschwerde aussichtslos war, kann das Gesuch um unentgeltliche Rechtspflege und Verbeiständung nach Art. 64 BGG nicht bewilligt werden. Unter den gegebenen Umständen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