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263/2016 vom 21. Februar 2017</w:t>
      </w:r>
    </w:p>
    <w:p>
      <w:r>
        <w:t>Bundesgericht, 2017-02-21, FR</w:t>
      </w:r>
    </w:p>
    <w:p>
      <w:r>
        <w:rPr>
          <w:b/>
        </w:rPr>
        <w:t xml:space="preserve">Quelle: </w:t>
      </w:r>
      <w:r>
        <w:t>https://mcp.opencaselaw.ch/entscheid/bger_1C_263_2016</w:t>
      </w:r>
    </w:p>
    <w:p>
      <w:r>
        <w:t>FR: TF 1C 263/2016 du 21 février 2017</w:t>
      </w:r>
    </w:p>
    <w:p>
      <w:r>
        <w:t>IT: TF 1C 263/2016 del 21 febbraio 2017</w:t>
      </w:r>
    </w:p>
    <w:p>
      <w:pPr>
        <w:pStyle w:val="Heading2"/>
      </w:pPr>
      <w:r>
        <w:t>Regeste</w:t>
      </w:r>
    </w:p>
    <w:p>
      <w:r>
        <w:t>permis de construire; art. 75b Cst.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si bien qu'il y a lieu d'entrer en matière.</w:t>
      </w:r>
    </w:p>
    <w:p>
      <w:r>
        <w:rPr>
          <w:b/>
        </w:rPr>
        <w:t>E. 2</w:t>
      </w:r>
    </w:p>
    <w:p>
      <w:r>
        <w:t>Le recourant fait valoir que les faits retenus par la cour cantonale ont été établis en violation du droit. Il en découlerait une violation de l' art. 7 al. 1 let. a, al. 3 et al. 4 LRS , dès lors qu'aucun abus manifeste de cette disposition n'aurait pu être établi par les autorités.</w:t>
      </w:r>
    </w:p>
    <w:p>
      <w:r>
        <w:rPr>
          <w:b/>
        </w:rPr>
        <w:t>E. 3</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4.1</w:t>
      </w:r>
    </w:p>
    <w:p>
      <w:r>
        <w:t>Directement applicable ( ATF 142 II 206 consid. 2.1 p. 208; 139 II 243 consid. 10.6 p. 257), 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p. 208 et les références citées). 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 art. 7 al. 1 let. a LRS comporte une réglementation semblable. Le nouvel art. 3 al. 1 ORSec , entré en vigueur en même temps que la LRS, prévoit que la servitude à mentionner au registre foncier en vertu de la LRS pour les logements soumis à une restriction d'utilisation doit avoir la teneur suivante: "résidence principale ou logement assimilé à une résidence principale au sens de l'art. 7, al. 1, let. a, LRS".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4.2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132 III 212 consid. 4.1).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142 II 206 consid. 2.5 p. 210 et la jurisprudence citée).</w:t>
      </w:r>
    </w:p>
    <w:p>
      <w:r>
        <w:rPr>
          <w:b/>
        </w:rPr>
        <w:t>E. 4.3</w:t>
      </w:r>
    </w:p>
    <w:p>
      <w:r>
        <w:t>Dans le contexte de l' art. 75b Cst. et de ses dispositions d'application, il n'y a pas lieu d'assouplir la répartition du fardeau de la preuve dans ce domaine en exigeant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d'emblée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 ( ATF 142 II 206 consid. 2.4 p. 210).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142 II 206 consid. 2.4 p. 210).</w:t>
      </w:r>
    </w:p>
    <w:p>
      <w:r>
        <w:rPr>
          <w:b/>
        </w:rPr>
        <w:t>E. 5.1</w:t>
      </w:r>
    </w:p>
    <w:p>
      <w:r>
        <w:t>En l'occurrence, la cour cantonale a certes constaté que la commune de Rossinière était bien desservie en liaisons routières et transports publics et que les environs disposaient des infrastructures répondant aux besoins d'habitants en résidences principales. La parcelle concernée est toutefois située dans les hauts du village, à 400 m du centre, hors périmètre du centre local selon le plan directeur cantonal. La cour cantonale s'est en outre référée aux explications de la municipalité, selon laquelle il n'y a pas de réel besoin en logements principaux pour la commune. L'autorité communale a même précisé que, depuis 25 à 30 ans, le rythme de développement de nouvelles constructions avait été faible et que jamais un projet de l'ampleur du projet litigieux, à savoir de plusieurs bâtiments simultanément, n'avait été autorisé. A l'échelle régionale, de nombreux appartements seraient inoccupés au Pays d'Enhaut et la demande de logements primaires aurait fortement chuté. Les premiers juges ont encore constaté que la population de Rossinière était de 565 personnes au 31 décembre 2015 et que la commune avait connu, au cours des six précédentes années, une diminution de 69 habitants. La cour cantonale a enfin tenu les arguments du constructeur (absence de logements disponibles en résidence principale auprès de la centrale de réservations de la région, les investissements engagés dans le projet ou encore la délivrance d'une autorisation de construire pour une autre parcelle) pour non décisifs.</w:t>
      </w:r>
    </w:p>
    <w:p>
      <w:r>
        <w:rPr>
          <w:b/>
        </w:rPr>
        <w:t>E. 5.2</w:t>
      </w:r>
    </w:p>
    <w:p>
      <w:r>
        <w:t>Le recourant se plaint de ce que les éléments précités aient été tenus par la cour cantonale pour établis sur la seule base des déclarations de la commune. Or, lorsque la municipalité indique qu'aucun projet de cette ampleur n'a jamais vu le jour sur le territoire communal, il s'agit d'un fait négatif. Dans ce contexte, on peut attendre du constructeur qui conteste cet élément qu'il apporte la preuve du contraire ou qu'il le rende à tout le moins vraisemblable (cas échéant en désignant les moyens de preuve qu'il souhaite obtenir de la commune). Le recourant ne fait rien de tel, se contentant d'affirmer appellatoirement que les faits retenus par la commune puis la cour cantonale sont infondés. Quant au faible rythme de développement, si cette constatation n'est certes pas étayée par des données chiffrées que la commune aurait pu collecter, elle est étroitement liée à l'absence de constructions de l'ampleur du projet litigieux, que l'on vient d'évoquer, ainsi qu'à l'évolution de la population. Ce second élément, comme on le verra ci-dessous, est décisif en l'espèce, contrairement à ce qu'allègue le recourant. Le recourant déplore en outre que la cour cantonale n'ait pas tenu compte des pièces qu'il avait produites pour considérer la demande en résidences principales comme avérée. Il s'agit de déclarations très générales d'un agent immobilier et de deux particuliers, produites en instance cantonale seulement, relatives à un éventuel intérêt pour le projet. Ces pièces sont largement insuffisantes pour démontrer un intérêt certain pour les huit logements projetés en résidence principale. Aussi, le recourant ne parvient-il pas à démontrer l'arbitraire des faits retenus par la cour cantonale. En tout état, la critique du recourant à l'égard des faits retenus par la cour cantonale doit être écartée.</w:t>
      </w:r>
    </w:p>
    <w:p>
      <w:r>
        <w:rPr>
          <w:b/>
        </w:rPr>
        <w:t>E. 5.3</w:t>
      </w:r>
    </w:p>
    <w:p>
      <w:r>
        <w:t>Le recourant considère que l'évolution de la population résidente au cours des six dernières années ne serait pas un critère pertinent. Les statistiques de départs et d'arrivées dans la commune ne sauraient, selon lui, permettre de déterminer le taux de vacance des logements. Tel n'est effectivement pas le cas, la détermination du taux de vacance nécessitant de connaître le nombre de logements total et le nombre de logements libres. En revanche, le nombre de départs et d'arrivées ainsi que la baisse de la population qui peut en l'occurrence en être déduite permet de démontrer une disponibilité des logements. Or, contrairement à ce qu'allègue le recourant, ce fait est essentiel en l'espèce. En effet, une constante diminution de la population génère de la disponibilité dans les logements non seulement existants, mais, surtout, qui se prêtent idéalement à une affectation en résidence principale. Cumulée à la constatation des autorités selon laquelle aucun projet de ce genre n'a jamais été réalisé sur le territoire communal et à la déduction que les autorités en tirent, à savoir que le développement de la commune est faible, et en l'absence de toutes autres circonstances particulières en vertu desquelles les logements libérés ne pourraient plus être repourvus (non alléguées en l'espèce), cette statistique est propre à démontrer l'absence de besoin de nouveaux logements. A cela s'ajoute que la zone considérée n'est pas incluse dans un périmètre de centre local prévu au sens du plan directeur cantonal. A cet égard, la critique du recourant est au demeurant purement appellatoire, ce d'autant qu'il ne saurait remettre en cause cette planification à l'occasion d'une demande d'autorisation de construire. En résumé, compte tenu de tous ces éléments, il est manifeste que les habitations projetées ne pourraient être affectées en résidence principale. Enfin, il importe peu que le promoteur du projet ait pour réelle intention de mettre le logement sur le marché des résidences principales. Si de telles intentions ne sont pas réalistes, un contournement des règles légales doit être retenu. En outre, la possibilité qu'offre l' art. 14 LRS rend sans pertinence une prétendue prise de risque financier alléguée par le constructeur.</w:t>
      </w:r>
    </w:p>
    <w:p>
      <w:r>
        <w:rPr>
          <w:b/>
        </w:rPr>
        <w:t>E. 6</w:t>
      </w:r>
    </w:p>
    <w:p>
      <w:r>
        <w:t>Il résulte de ce qui précède que le recours doit être rejeté et l'arrêt cantonal confirmé.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