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1C_263/2012 vom 22. Mai 2012</w:t>
      </w:r>
    </w:p>
    <w:p>
      <w:r>
        <w:t>Bundesgericht, 2012-05-22, DE</w:t>
      </w:r>
    </w:p>
    <w:p>
      <w:r>
        <w:rPr>
          <w:b/>
        </w:rPr>
        <w:t xml:space="preserve">Quelle: </w:t>
      </w:r>
      <w:r>
        <w:t>https://mcp.opencaselaw.ch/entscheid/bger_1C_263_2012</w:t>
      </w:r>
    </w:p>
    <w:p>
      <w:r>
        <w:t>FR: TF 1C_263/2012 du 22 mai 2012</w:t>
      </w:r>
    </w:p>
    <w:p>
      <w:r>
        <w:t>IT: TF 1C_263/2012 del 22 maggio 2012</w:t>
      </w:r>
    </w:p>
    <w:p>
      <w:pPr>
        <w:pStyle w:val="Heading2"/>
      </w:pPr>
      <w:r>
        <w:t>Erwägungen</w:t>
      </w:r>
    </w:p>
    <w:p>
      <w:r>
        <w:rPr>
          <w:b/>
        </w:rPr>
        <w:t>E. 1</w:t>
      </w:r>
    </w:p>
    <w:p>
      <w:r>
        <w:t>Die Gemeinde Niederrohrdorf wies am 16. Juli 2007 ein von X.________ nachträglich eingereichtes Baugesuch für den Umbau einer Remise ab und verfügte deren Entfernung. Dagegen erhob X.________ erfolglos Beschwerde beim Regierungsrat und beim Verwaltungsgericht des Kantons Aargau sowie zuletzt beim Bundesgericht (Urteil 1C_191/2009 vom 7. Oktober 2009).</w:t>
      </w:r>
    </w:p>
    <w:p>
      <w:r>
        <w:t>In der Folge forderte der Gemeinderat Niederrohrdorf X.________ am 28. Februar 2011 unter Androhung der Ersatzvornahme und Bestrafung nach Art. 292 StGB auf, der rechtskräftigen Verfügung des Gemeinderats vom 16. Juli 2007 umgehend nachzukommen und die Remise zurück zu bauen. Dagegen erhob X.________ wiederum Beschwerde, welche das Verwaltungsgericht des Kantons Aargau mit Urteil vom 20. Mai 2011 abwies.</w:t>
      </w:r>
    </w:p>
    <w:p>
      <w:r>
        <w:t>Mit Verfügung vom 12. Dezember 2011 ordnete der Gemeinderat Niederrohrdorf die Ersatzvornahme an und reichte gegen X.________ Strafanzeige bei der Staatsanwaltschaft Baden ein. Eine von X.________ dagegen erhobene Beschwerde wies das Verwaltungsgericht des Kantons Aargau mit Urteil vom 4. April 2012 ab, soweit es darauf eintrat. Zur Begründung führte das Verwaltungsgericht zusammenfassend aus, dass über die Voraussetzungen und die Zulässigkeit der Vollstreckung bereits rechtskräftig entschieden worden sei. Im vorliegenden Beschwerdeverfahren gegen die Durchführung der Ersatzvornahme könnten nur noch die fehlende vorgängige Zwangsandrohung, die Überschreitung der angedrohten Zwangsmittel sowie die Unverhältnismässigkeit der angeordneten Ersatzvornahme beanstandet werden. Die angeordnete Ersatzvornahme sei verhältnismässig und erfolge gemäss der Androhung in der Verfügung vom 28. Februar 2011. Auf die materiell-rechtlichen Einwände des Beschwerdeführers sei im vorliegenden Verfahren nicht mehr einzutreten.</w:t>
      </w:r>
    </w:p>
    <w:p>
      <w:r>
        <w:rPr>
          <w:b/>
        </w:rPr>
        <w:t>E. 2</w:t>
      </w:r>
    </w:p>
    <w:p>
      <w:r>
        <w:t>X.________ führt mit Eingabe vom 16. Mai 2012 Beschwerde in öffentlich-rechtlichen Angelegenheiten gegen das Urteil des Verwaltungsgerichts des Kantons Aargau vom 4. April 2012.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w:t>
      </w:r>
    </w:p>
    <w:p>
      <w:r>
        <w:t>Der Beschwerdeführer setzt sich mit der Begründung des verwaltungsgerichtlichen Urteils nicht auseinander und legt mit seiner appellatorischen Kritik nicht dar, inwiefern das Verwaltungsgericht die Beschwerde in rechts- bzw. verfassungswidriger Weise behandelt haben sollte.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