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1C_261/2019 vom 21. Mai 2019</w:t>
      </w:r>
    </w:p>
    <w:p>
      <w:r>
        <w:t>Bundesgericht, 2019-05-21, DE</w:t>
      </w:r>
    </w:p>
    <w:p>
      <w:r>
        <w:rPr>
          <w:b/>
        </w:rPr>
        <w:t xml:space="preserve">Quelle: </w:t>
      </w:r>
      <w:r>
        <w:t>https://mcp.opencaselaw.ch/entscheid/bger_1C_261_2019</w:t>
      </w:r>
    </w:p>
    <w:p>
      <w:r>
        <w:t>FR: TF 1C_261/2019 du 21 mai 2019</w:t>
      </w:r>
    </w:p>
    <w:p>
      <w:r>
        <w:t>IT: TF 1C_261/2019 del 21 maggio 2019</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Bei der Beantwortung der Frage, ob ein besonders bedeutender Fall gegeben ist, steht dem Bundesgericht ein weiter Ermessensspielraum zu ( BGE 134 IV 156 E. 1.3.1 S. 160 mit Hinweis).</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rügt, die Haftverhältnisse in Italien würden laut den wiederholten Feststellungen des Europäischen Gerichtshofs für Menschenrechte (EGMR) gegen Art. 3 EMRK verstossen. Sie hätten sich seit dem Urteil Torreggiani nicht verbessert, weshalb die Schweizer Praxis zu überprüfen sei (Urteil des EGMR</w:t>
      </w:r>
    </w:p>
    <w:p>
      <w:r>
        <w:t>Torreggiani u.a. gegen Italien vom 8. Januar 2013, Nr. 43517/09 u.a.).</w:t>
      </w:r>
    </w:p>
    <w:p>
      <w:r>
        <w:t>Das Bundesgericht hat sich seit dem Urteil Torreggiani wiederholt mit der Frage, ob die Haftbedingungen in italienischen Gefängnissen einer Auslieferung entgegenstehen, befasst. Es ist unter Berücksichtigung zahlreicher Reformmassnahmen Italiens zur Reduktion der Überbelegung der Gefängnisse zum Schluss gekommen, dass die Auslieferung nicht mehr von Garantien abhängig gemacht werden muss (Urteile 1C_226/2017 vom 24. Mai 2017 E. 1.4; 1C_176/2014 vom 12. Mai 2014 E. 4, in: SJ 2014 I S. 341). Den Erwägungen in den zitierten Urteilen ist anzufügen, dass bei der Beurteilung der Gefahr einer mit Art. 3 EMRK unvereinbaren Behandlung im Zielstaat dem Umstand, dass es sich bei diesem um einen EMRK-Vertragsstaat mit entsprechenden Rechtsmittelmöglichkeiten handelt, Rechnung zu tragen ist (Entscheid des EGMR</w:t>
      </w:r>
    </w:p>
    <w:p>
      <w:r>
        <w:t>Kaplan gegen Deutschland vom 15. Dezember 2009, Nr. 43212/05). Die Kritik des Beschwerdeführers gibt keinen Anlass, auf diese Rechtsprechung zurückzukommen.</w:t>
      </w:r>
    </w:p>
    <w:p>
      <w:r>
        <w:t>Der Beschwerdeführer legt nicht dar, dass aus einem anderen Grund ein besonders bedeutender Fall gegeben wäre (vgl. Art. 42 Abs. 2 Satz 2 BGG ).</w:t>
      </w:r>
    </w:p>
    <w:p>
      <w:r>
        <w:rPr>
          <w:b/>
        </w:rPr>
        <w:t>E. 2</w:t>
      </w:r>
    </w:p>
    <w:p>
      <w:r>
        <w:t>Auf die Beschwerde ist deshalb nicht einzutreten. Damit wird das Gesuch um aufschiebende Wirkung gegenstandslos. Der Beschwerde kommt im vorliegenden Fall ohnehin schon von Gesetzes wegen aufschiebende Wirkung zu ( Art. 103 Abs. 2 lit. c BGG ; BGE 142 IV 250 E. 8.2).</w:t>
      </w:r>
    </w:p>
    <w:p>
      <w:r>
        <w:t>Der Beschwerdeführer stellt ein Gesuch um unentgeltliche Rechtspflege. Angesichts des Umstands, dass es zur vorliegenden Frage eine bestätigte bundesgerichtliche Rechtsprechung gibt, erscheint sein Rechtsbegehren jedoch als aussichtslos. Das Gesuch ist deshalb abzuweisen ( Art. 64 Abs. 1 BGG ). Angesichts der angespannten finanziellen Verhältnisse des Beschwerdeführers sind indessen lediglich reduzierte Gerichtskosten zu erheben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