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261/2016 vom 10. Juni 2016</w:t>
      </w:r>
    </w:p>
    <w:p>
      <w:r>
        <w:t>Bundesgericht, 2016-06-10, FR</w:t>
      </w:r>
    </w:p>
    <w:p>
      <w:r>
        <w:rPr>
          <w:b/>
        </w:rPr>
        <w:t xml:space="preserve">Quelle: </w:t>
      </w:r>
      <w:r>
        <w:t>https://mcp.opencaselaw.ch/entscheid/bger_1C_261_2016</w:t>
      </w:r>
    </w:p>
    <w:p>
      <w:r>
        <w:t>FR: TF 1C 261/2016 du 10 juin 2016</w:t>
      </w:r>
    </w:p>
    <w:p>
      <w:r>
        <w:t>IT: TF 1C 261/2016 del 10 giugno 2016</w:t>
      </w:r>
    </w:p>
    <w:p>
      <w:pPr>
        <w:pStyle w:val="Heading2"/>
      </w:pPr>
      <w:r>
        <w:t>Regeste</w:t>
      </w:r>
    </w:p>
    <w:p>
      <w:r>
        <w:t>prolongation du permis de conduire à l'essai, refus de reconsidérer une décision | Construction des routes et circulation routière</w:t>
      </w:r>
    </w:p>
    <w:p>
      <w:pPr>
        <w:pStyle w:val="Heading2"/>
      </w:pPr>
      <w:r>
        <w:t>Erwägungen</w:t>
      </w:r>
    </w:p>
    <w:p>
      <w:r>
        <w:rPr>
          <w:b/>
        </w:rPr>
        <w:t>E. 1</w:t>
      </w:r>
    </w:p>
    <w:p>
      <w:r>
        <w:t>Le Tribunal fédéral examine d'office et librement la recevabilité des recours qui lui sont soumis. Le recours en matière de droit public est recevable, en vertu de l' art. 86 al. 1 let . d LTF, contre les décisions des autorités cantonales de dernière instance, pour autant que le recours devant le Tribunal administratif fédéral ne soit pas ouvert. Cette disposition impose à la partie recourante d'épuiser les instances cantonales ou, en d'autres termes, d'utiliser les voies de droit cantonales à sa disposition avant de saisir le Tribunal fédéral. Le recourant estime avoir satisfait cette exigence car il ne disposerait d'aucune voie de droit cantonale contre le refus du Service de la circulation routière et de la navigation du 11 mai 2016 de reconsidérer sa décision du 1er mars 2016. Il se fonde à cet égard sur l'indication contenue dans la décision attaquée suivant laquelle les mesures d'exécution ne sont pas sujettes à un recours de droit administratif auprès du Tribunal cantonal en vertu de l' art. 77 let . c LPJA. Il n'y a pas lieu d'examiner si la décision attaquée peut être qualifiée comme telle et si cette disposition, qui concerne le recours de droit administratif au Tribunal cantonal, s'applique également au recours administratif visé aux art. 41 ss LPJA. Comme le relève le recourant, l' art. 77 let . c LPJA ouvre exceptionnellement la voie du recours de droit administratif contre les mesures relatives à l'exécution de décisions lorsque la violation du principe de la proportionnalité est invoquée. Or, le recourant fait précisément valoir une telle violation en l'espèce de sorte qu'une voie de droit cantonale n'est pas d'emblée exclue. Le recours est ainsi irrecevable au regard de l' art. 86 al. 1 let . d LTF. Il l'est au demeurant également au vu de l' art. 86 al. 2 LTF dès lors que la décision attaquée n'émane pas d'un tribunal, soit d'une autorité judiciaire, mais d'une autorité administrative. Dans un tel cas, le Tribunal fédéral, s'il parvient à déterminer l'autorité cantonale compétente, lui transmet directement la cause pour qu'elle statue sur le recours. En revanche, lorsque la situation n'est pas claire, il renvoie la cause soit à l'autorité qui s'est prononcée en dernier lieu soit à celle dont la compétence lui semble la plus probable. En l'occurrence, les décisions prises par le Service de la circulation routière et de la navigation sont en principe sujettes à un recours administratif auprès du Conseil d'Etat en vertu de l'art. 43 al. 2 LPJA. La présente affaire doit être transmise à cette autorité pour qu'elle lui donne la suite qui convient (cf. art. 30 al. 2 LTF par analogie).</w:t>
      </w:r>
    </w:p>
    <w:p>
      <w:r>
        <w:rPr>
          <w:b/>
        </w:rPr>
        <w:t>E. 2</w:t>
      </w:r>
    </w:p>
    <w:p>
      <w:r>
        <w:t>Le présent arrêt peut être rendu selon la procédure simplifiée prévue par l' art. 108 al. 1 let. a LTF . Vu les circonstances, il sera statué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