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261/2010 vom 8. Juni 2010</w:t>
      </w:r>
    </w:p>
    <w:p>
      <w:r>
        <w:t>Bundesgericht, 2010-06-08, DE</w:t>
      </w:r>
    </w:p>
    <w:p>
      <w:r>
        <w:rPr>
          <w:b/>
        </w:rPr>
        <w:t xml:space="preserve">Quelle: </w:t>
      </w:r>
      <w:r>
        <w:t>https://mcp.opencaselaw.ch/entscheid/bger_1C_261_2010</w:t>
      </w:r>
    </w:p>
    <w:p>
      <w:r>
        <w:t>FR: TF 1C 261/2010 du 8 juin 2010</w:t>
      </w:r>
    </w:p>
    <w:p>
      <w:r>
        <w:t>IT: TF 1C 261/2010 del 8 giugno 2010</w:t>
      </w:r>
    </w:p>
    <w:p>
      <w:pPr>
        <w:pStyle w:val="Heading2"/>
      </w:pPr>
      <w:r>
        <w:t>Regeste</w:t>
      </w:r>
    </w:p>
    <w:p>
      <w:r>
        <w:t>Auslieferung an Deutschland, Auslieferungshaft - B 211'700 -JEN/VOM | Rechtshilfe und Auslieferung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Präsident der Abteilung leitet als Instruktionsrichter das Verfahren bis zum Entscheid. Er kann einen anderen Richter mit dieser Aufgabe betrauen ( Art. 32 Abs. 1 BGG ). Der Instruktionsrichter entscheidet als Einzelrichter über die Abschreibung von Verfahren zufolge Beschwerderückzugs ( Art. 32 Abs. 2 BGG ). Nachdem der Beschwerdeführer am 7. Juni 2010 den Rückzug erklärt hat, ist das Verfahren als erledigt vom Protokoll abzuschreiben. Die entstandenen Verfahrenskosten sind dem Beschwerdeführer aufzuerlegen ( Art. 66 Abs. 3 BGG ). Diese Verfügung ist nicht anfechtbar ( Art. 32 Abs.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