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1C_260/2015 vom 22. Mai 2015</w:t>
      </w:r>
    </w:p>
    <w:p>
      <w:r>
        <w:t>Bundesgericht, 2015-05-22, DE</w:t>
      </w:r>
    </w:p>
    <w:p>
      <w:r>
        <w:rPr>
          <w:b/>
        </w:rPr>
        <w:t xml:space="preserve">Quelle: </w:t>
      </w:r>
      <w:r>
        <w:t>https://mcp.opencaselaw.ch/entscheid/bger_1C_260_2015</w:t>
      </w:r>
    </w:p>
    <w:p>
      <w:r>
        <w:t>FR: TF 1C_260/2015 du 22 mai 2015</w:t>
      </w:r>
    </w:p>
    <w:p>
      <w:r>
        <w:t>IT: TF 1C_260/2015 del 22 maggio 2015</w:t>
      </w:r>
    </w:p>
    <w:p>
      <w:pPr>
        <w:pStyle w:val="Heading2"/>
      </w:pPr>
      <w:r>
        <w:t>Erwägungen</w:t>
      </w:r>
    </w:p>
    <w:p>
      <w:r>
        <w:rPr>
          <w:b/>
        </w:rPr>
        <w:t>E. 1.1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Was der Beschwerdeführer vorbringt, ist nicht geeignet, einen besonders bedeutenden Fall darzutun. Die Vorinstanz hat sich eingehend mit seinen Einwänden auseinandergesetzt. Sie kommt zum Schluss, dass die in Frage stehenden Vermögenswerte gestützt auf die Sachverhaltsdarstellung des Rechtshilfeersuchens und die rechtskräftige gerichtliche chilenische Einziehung an den ersuchenden Staat herausgegeben werden dürfen. Ihre Erwägungen (angefochtener Entscheid E. 5 S. 5 ff.) stützen sich auf die bundesgerichtliche Rechtsprechung und lassen keine Bundesrechtsverletzung erkennen. Darauf kann verwiesen werden ( Art. 109 Abs. 3 BGG ). Rechtsfragen von grundsätzlicher Bedeutung stellen sich nicht. Auch sonst wie kommt der Angelegenheit keine aussergewöhnliche Tragweite zu. Für das Bundesgericht besteht deshalb kein Anlass, die Sache an die Hand zu nehmen.</w:t>
      </w:r>
    </w:p>
    <w:p>
      <w:r>
        <w:t>Da die Beschwerde demnach unzulässig ist, fällt die Ansetzung einer Nachfrist zur Ergänzung der Beschwerdebegründung ausser Betracht ( Art. 43 lit. a BGG ).</w:t>
      </w:r>
    </w:p>
    <w:p>
      <w:r>
        <w:rPr>
          <w:b/>
        </w:rPr>
        <w:t>E. 2</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