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1C_25/2023 vom 17. Januar 2023</w:t>
      </w:r>
    </w:p>
    <w:p>
      <w:r>
        <w:t>Bundesgericht, 2023-01-17, FR</w:t>
      </w:r>
    </w:p>
    <w:p>
      <w:r>
        <w:rPr>
          <w:b/>
        </w:rPr>
        <w:t xml:space="preserve">Quelle: </w:t>
      </w:r>
      <w:r>
        <w:t>https://mcp.opencaselaw.ch/entscheid/bger_1C_25_2023</w:t>
      </w:r>
    </w:p>
    <w:p>
      <w:r>
        <w:t>FR: TF 1C_25/2023 du 17 janvier 2023</w:t>
      </w:r>
    </w:p>
    <w:p>
      <w:r>
        <w:t>IT: TF 1C_25/2023 del 17 gennaio 2023</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1.1</w:t>
      </w:r>
    </w:p>
    <w:p>
      <w:r>
        <w:t>La présente espèce porte certes sur la transmission de documents touchant le domaine secret. Toutefois, compte tenu des faits à l'origine de la demande (des agissements qualifiés de banqueroute et de détournements) et de la nature de la transmission envisagée (limitée à des procès-verbaux d'auditions et des documents remis par le recourant), le cas ne revêt en soi aucune importance particulière.</w:t>
      </w:r>
    </w:p>
    <w:p>
      <w:r>
        <w:rPr>
          <w:b/>
        </w:rPr>
        <w:t>E. 1.2</w:t>
      </w:r>
    </w:p>
    <w:p>
      <w:r>
        <w:t>Le recourant estime que la demande d'entraide aurait été formée par un Procureur adjoint du Tribunal judiciaire du Havre et non, comme l'a retenu la Cour des plaintes, par la Cour d'appel de Rouen. Le recourant se plaint à cet égard d'arbitraire dans l'établissement des faits en relevant que la mention de la Cour d'appel de Rouen sur l'en-tête du courrier d'accompagnement, proviendrait du fait que le Tribunal du Havre dépend de la Cour d'appel de Rouen. Le recourant invoque à cet égard l'art. 14 de l'Accord entre la France et la Suisse du 28 octobre 1996 en vue de compléter la CEEJ (RS 0.351.934.92), disposition qui mentionne les autorités compétentes pour recevoir une demande d'entraide. Quoi qu'il en soit, la question de la compétence de l'autorité requérante, qu'il s'agisse de la compétence répressive proprement dite (que le recourant ne conteste pas) ou de la faculté de présenter une demande d'entraide judiciaire, est présumée ( ATF 132 II 178 consid. 5.2) et, comme le relève la Cour des plaintes, il appartiendra aux autorités de l'Etat requérant de tirer les conséquences d'un éventuel défaut de compétence de l'instance requérante.</w:t>
      </w:r>
    </w:p>
    <w:p>
      <w:r>
        <w:rPr>
          <w:b/>
        </w:rPr>
        <w:t>E. 1.3</w:t>
      </w:r>
    </w:p>
    <w:p>
      <w:r>
        <w:t>Il en va de même de la question de la notification des droits avant les auditions du recourant. La Cour des plaintes a considéré que le recourant avait été entendu comme prévenu conformément à l' art. 157 CPP et que l'autorité requérante n'avait pas posé d'exigences particulières à ce sujet. Le recourant relève qu'au contraire, la notification de ses droits devait avoir lieu conformément aux exigences du droit français, qui comprennent notamment le droit de quitter les locaux de police à tout moment.</w:t>
      </w:r>
    </w:p>
    <w:p>
      <w:r>
        <w:t>Le recourant ne se plaint pas d'une violation de ses droits dans la procédure d'exécution en Suisse, dès lors que les exigences des art. 157 et 158 CPP (applicables par renvoi de l' art. 12 al. 1 EIMP ) ont été respectées. C'est dès lors aux autorités de l'Etat requérant qu'il appartiendra de tirer les conséquences de l'irrégularité dont se plaint le recourant. On ne saurait en tout état discerner de violation grave susceptible de justifier une entrée en matière.</w:t>
      </w:r>
    </w:p>
    <w:p>
      <w:r>
        <w:rPr>
          <w:b/>
        </w:rPr>
        <w:t>E. 1.4</w:t>
      </w:r>
    </w:p>
    <w:p>
      <w:r>
        <w:t>Enfin, la violation alléguée du principe de la proportionnalité ne saurait faire de la présente cause un cas particulièrement important (cf. arrêt 1C_548/2016 du 1er février 2017 consid. 1.5). L'autorité d'exécution s'en est tenue à la liste de questions présentée par l'autorité requérante et la Cour des plaintes a appliqué le principe de l'utilité potentielle conformément à la jurisprudence constante.</w:t>
      </w:r>
    </w:p>
    <w:p>
      <w:r>
        <w:rPr>
          <w:b/>
        </w:rPr>
        <w:t>E. 2</w:t>
      </w:r>
    </w:p>
    <w:p>
      <w:r>
        <w:t>Sur le vu de ce qui précède, le recours est irrecevable. Conformément à l' art. 66 al. 1 LTF , les frais judiciaires sont mis à la charge du recourant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