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25/2021 vom 10. Januar 2022</w:t>
      </w:r>
    </w:p>
    <w:p>
      <w:r>
        <w:t>Bundesgericht, 2022-01-10, DE</w:t>
      </w:r>
    </w:p>
    <w:p>
      <w:r>
        <w:rPr>
          <w:b/>
        </w:rPr>
        <w:t xml:space="preserve">Quelle: </w:t>
      </w:r>
      <w:r>
        <w:t>https://mcp.opencaselaw.ch/entscheid/bger_1C_25_2021</w:t>
      </w:r>
    </w:p>
    <w:p>
      <w:r>
        <w:t>FR: TF 1C 25/2021 du 10 janvier 2022</w:t>
      </w:r>
    </w:p>
    <w:p>
      <w:r>
        <w:t>IT: TF 1C 25/2021 del 10 gennaio 2022</w:t>
      </w:r>
    </w:p>
    <w:p>
      <w:pPr>
        <w:pStyle w:val="Heading2"/>
      </w:pPr>
      <w:r>
        <w:t>Regeste</w:t>
      </w:r>
    </w:p>
    <w:p>
      <w:r>
        <w:t>Planungs- und Baurecht (baurechtlicher Vorentscheid: Erschliessung) | Raumplanung und öffentliches Baurecht</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 Art. 82 ff. BGG ).</w:t>
      </w:r>
    </w:p>
    <w:p>
      <w:r>
        <w:rPr>
          <w:b/>
        </w:rPr>
        <w:t>E. 1.2</w:t>
      </w:r>
    </w:p>
    <w:p>
      <w:r>
        <w:t>Gemäss § 84 Abs. 2 des Planungs- und Baugesetzes des Kantons Schwyz vom 14. Mai 1987 (PBG; SRSZ 400.100) kann zur Abklärung wichtiger Baufragen der Bewilligungsbehörde das Gesuch um einen Vorentscheid unterbreitet werden (Satz 1). Der Vorentscheid ist hinsichtlich der behandelten Fragen in gleicher Weise verbindlich, gültig und anfechtbar wie eine Baubewilligung (Satz 2). Nach der Rechtsprechung des Bundesgerichts stellt ein positiv lautender baurechtlicher Vorentscheid grundsätzlich einen Zwischenentscheid im Sinne von Art. 93 BGG dar ( BGE 135 II 30 E. 1 S. 31 ff. mit Hinweisen), ein negativer Vorentscheid dagegen einen Endentscheid im Sinne von Art. 90 BGG (Urteil 1C_456/2009 vom 5. August 2010 E. 1.1 mit Hinweisen). Das Verwaltungsgericht erwog, ein baurechtlicher Vorentscheid könne nicht ergehen, weil für die Parzelle Nr. 2344, welche die Streitgegenstand bildenden Parzellen des Gestaltungsplans "Sparkling II" von der Altenbachstrasse trennt, noch kein genehmigter Gestaltungsplan bestehe. Inhaltlich ging das Verwaltungsgericht somit nicht auf die Feststellungsanträge der Beschwerdeführerin ein. Es liegt deshalb weder ein positiver noch ein negativer baurechtlicher Vorentscheid vor. Dass das Verwaltungsgericht dies nicht im Dispositiv zum Ausdruck brachte, indem es nebst der Gutheissung der Beschwerde und der Aufhebung des Regierungsratsbeschlusses festhielt, dass auf das Gesuch um Erlass eines Vorentscheids nicht eingetreten werde, ändert daran nichts (vgl. Urteil 2C_423/2012 vom 9. Dezember 2012 E. 1.2 mit Hinweisen). Da mit dem angefochtenen Entscheid das angestrebte Bauvorhaben der Beschwerdeführerin nicht ausgeschlossen wird, ist rechtsprechungsgemäss von einem Zwischenentscheid nach Art. 93 BGG auszugehen. Gemäss dieser Bestimmung sind andere (als in Art. 92 BGG geregelte) Vor- und Zwischenentscheide nur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Die Variante nach Art. 93 Abs. 1 lit. b BGG fällt hier von vornherein ausser Betracht. Dagegen ist zu prüfen, ob ein nicht wieder gutzumachenden Nachteil droht. Nach Art. 42 Abs. 1 BGG muss die Beschwerdeführerin die Tatsachen darlegen, aus denen sich ihre Beschwerdeberechtigung ergibt, sofern diese nicht offensichtlich gegeben ist ( BGE 141 IV 289 E. 1.3 mit Hinweisen).</w:t>
      </w:r>
    </w:p>
    <w:p>
      <w:r>
        <w:rPr>
          <w:b/>
        </w:rPr>
        <w:t>E. 1.3</w:t>
      </w:r>
    </w:p>
    <w:p>
      <w:r>
        <w:t>Der Nachteil im Sinne von Art. 93 Abs. 1 lit. a BGG muss grundsätzlich rechtlicher Natur sein. Das Bundesgericht lässt allerdings im Zusammenhang mit baurechtlichen Vorentscheiden unter gewissen Umständen einen tatsächlichen Nachteil genügen, weil andernfalls das im Baurecht zahlreicher Kantone enthaltene Institut des publizierten und kantonsintern anfechtbaren Vorentscheids weitgehend seines Gehalts entleert würde. Diese kantonale Rechtsfigur ist geschaffen worden, um in Bezug auf gewisse dafür geeignete Bauvorhaben ein etappenweises, speditives und möglichst ökonomisch ausgestaltetes Baubewilligungsverfahren zu gewährleisten (zum Ganzen: BGE 135 II 30 E. 1.3.4 f. mit Hinweisen). Aus dem Bundesrecht (insbesondere aus Art. 22 RPG [SR 700]) ergibt sich hingegen kein Anspruch auf Erlass eines baurechtlichen Vorentscheids. Die Anwendung des kantonalen Rechts wird vom Bundesgericht nur auf Willkür überprüft ( Art. 9 BV ). Damit vorliegend von der Voraussetzung eines drohenden, nicht wieder gutzumachenden Nachteils rechtlicher Natur abgesehen werden könnte, müsste die Beschwerdeführerin deshalb darlegen, dass das Verwaltungsgericht § 84 Abs. 2 PBG geradezu willkürlich angewendet hat. Dies tut sie jedoch nicht. Auch legt sie nicht dar, dass ihr ein solcher Nachteil rechtlicher Natur droht.</w:t>
      </w:r>
    </w:p>
    <w:p>
      <w:r>
        <w:rPr>
          <w:b/>
        </w:rPr>
        <w:t>E. 2</w:t>
      </w:r>
    </w:p>
    <w:p>
      <w:r>
        <w:t>Auf die Beschwerde ist aus diesen Gründen nicht einzutreten. Bei diesem Ausgang des Verfahrens sind die Kosten des bundesgerichtlichen Verfahrens der Beschwerdeführerin aufzuerlegen ( Art. 66 Abs. 1 BGG ). Diese hat den Beschwerdegegnern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