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256/2012 vom 22. November 2012</w:t>
      </w:r>
    </w:p>
    <w:p>
      <w:r>
        <w:t>Bundesgericht, 2012-11-22, FR</w:t>
      </w:r>
    </w:p>
    <w:p>
      <w:r>
        <w:rPr>
          <w:b/>
        </w:rPr>
        <w:t xml:space="preserve">Quelle: </w:t>
      </w:r>
      <w:r>
        <w:t>https://mcp.opencaselaw.ch/entscheid/bger_1C_256_2012</w:t>
      </w:r>
    </w:p>
    <w:p>
      <w:r>
        <w:t>FR: TF 1C 256/2012 du 22 novembre 2012</w:t>
      </w:r>
    </w:p>
    <w:p>
      <w:r>
        <w:t>IT: TF 1C 256/2012 del 22 novembre 2012</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reproche à l'instance précédente de ne pas avoir donné suite à sa demande d'auditionner B.________ et d'avoir ainsi procéder à une appréciation arbitraire des preuves. Cette critique doit être mise en relation avec une éventuelle violation des art. 29 et 9 Cst.</w:t>
      </w:r>
    </w:p>
    <w:p>
      <w:r>
        <w:rPr>
          <w:b/>
        </w:rPr>
        <w:t>E. 2.1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s.; 134 I 263 consid. 3.1 p. 266).</w:t>
      </w:r>
    </w:p>
    <w:p>
      <w:r>
        <w:rPr>
          <w:b/>
        </w:rPr>
        <w:t>E. 2.2</w:t>
      </w:r>
    </w:p>
    <w:p>
      <w:r>
        <w:t>En l'occurrence, le recourant allègue que l'audition de B.________ était indispensable pour établir que, durant le mois de septembre 2007, elle était tombée amoureuse d'une autre homme, fait à l'origine de la détérioration rapide du lien conjugal; ce fait ressortait en outre clairement de la lettre déposée en cause par B.________. Pour sa part, le Tribunal administratif fédéral a estimé que l'état de fait pertinent apparaissait suffisamment établi par les pièces du dossier et qu'il pouvait se dispenser de procéder à des mesures d'investigations supplémentaires. Il n'a nullement occulté les déclarations de l'ex-épouse mais a conclu que son audition n'était pas pertinente dans la mesure où la lettre déposée en cause ne pouvait l'amener à modifier son opinion, celle-ci étant basée sur une appréciation anticipée non arbitraire des preuves (cf. consid. 3.4.1 infra). Le Tribunal administratif fédéral n'a donc pas versé dans l'arbitraire en écartant, pour ce motif, cette demande d'audition. Par conséquent, le grief de violation du droit d'être entendu pour le refus de procéder à l'audition requise échappe à l'arbitraire et le grief de violation du droit d'être entendu doit être rejeté.</w:t>
      </w:r>
    </w:p>
    <w:p>
      <w:r>
        <w:rPr>
          <w:b/>
        </w:rPr>
        <w:t>E. 3</w:t>
      </w:r>
    </w:p>
    <w:p>
      <w:r>
        <w:t>Le recourant conteste avoir obtenu la naturalisation par des déclarations mensongères. Il reproche au Tribunal administratif fédéral d'avoir apprécié de façon arbitraire les preuves et d'avoir établi les faits fondant le retrait de la naturalisation de façon manifestement inexacte, rendant ainsi une décision contraire à la LN. Il soutient également que l'instance précédente n'aurait pas tenu compte de circonstances pertinentes dans l'examen des éléments avancés pour renverser cette présomption.</w:t>
      </w:r>
    </w:p>
    <w:p>
      <w:r>
        <w:rPr>
          <w:b/>
        </w:rPr>
        <w:t>E. 3.1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 129 I 8 consid. 2.1 p. 9).</w:t>
      </w:r>
    </w:p>
    <w:p>
      <w:r>
        <w:rPr>
          <w:b/>
        </w:rPr>
        <w:t>E. 3.2</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3.2.1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laps de temps extrêmement court qui s'est écoulé entre l'octroi de la naturalisation facilitée (8 octobre 2007) et le dépôt de la demande commune de divorce (13 décembre 2007) est de nature à fonder la présomption de fait que, conformément à la jurisprudence, la stabilité requise du mariage n'existait déjà plus au moment de la déclaration commune faite le 27 septembre 2007, à tout le moins lors du prononcé de la naturalisation facilitée, intervenu le 8 octobre 2007, quand bien même les époux ne vivaient pas encore séparés à ce moment-là. La requête commune de divorce a été déposée le 13 décembre 2007, soit deux mois après le prononcé de la naturalisation facilitée; à cette date, les époux avaient déjà réglé tous les effets accessoires du divorce, puisque la requête était accompagnée d'une convention sur les effets accessoires du divorce. Le Tribunal administratif fédéral pouvait donc retenir la présomption de fait selon laquelle la communauté conjugale n'était pas stable lors de l'octroi de la naturalisation puisque l'ouverture de la procédure de divorce - dont l'ensemble des effets accessoires avait déjà été réglé conventionnellement au moment du dépôt de la demande - est intervenue deux mois après l'octroi de la naturalisation facilitée.</w:t>
      </w:r>
    </w:p>
    <w:p>
      <w:r>
        <w:rPr>
          <w:b/>
        </w:rPr>
        <w:t>E. 3.4</w:t>
      </w:r>
    </w:p>
    <w:p>
      <w:r>
        <w:t>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3.4.1</w:t>
      </w:r>
    </w:p>
    <w:p>
      <w:r>
        <w:t>Le Tribunal administratif fédéral a retenu, sans arbitraire, que la relation extra-conjugale de l'ex-épouse, alléguée lors de la procédure devant le Tribunal administratif fédéral, n'était pas crédible. En effet, lors de l'instruction de la cause en première instance, tant le recourant que son ex-épouse ont expliqué leur désunion par le fait que le recourant travaillait trop et ne s'occupait pas suffisamment de sa famille. B.________ a en particulier exposé que les difficultés conjugales étaient liées à la différence de caractère entre les époux ainsi qu'à leur origine culturelle. Le recourant a, en tous points, confirmé ces déclarations dans ses observations du 13 janvier 2011. Ce n'est qu'à réception de la décision d'annulation de la naturalisation facilitée le 11 février 2011, que B.________ a spontanément indiqué à l'autorité, le 2 mars 2011, qu'elle serait tombée amoureuse en septembre 2007 d'un autre homme et que ce fait serait, en réalité, la cause de la désunion. Les époux auraient ensuite tenté en vain de sauver leur couple. Dans son recours au Tribunal administratif fédéral, le recourant impute à ce fait la cause exclusive de la désunion. Il paraît pour le moins surprenant que ni l'ex-épouse, ni surtout le recourant n'aient fait état d'un élément aussi important au moment de l'instruction. Le Tribunal administratif fédéral pouvait ainsi retenir de manière soutenable que ces allégations n'étaient pas crédibles. Quoi qu'il en soit, comme l'a mentionné le Tribunal administratif fédéral, même s'il devait être accordé foi aux déclarations tardives du recourant et de B.________ sur l'existence d'une relation extra- conjugale, la déclaration signée le 27 septembre 2007 ne serait alors de toute manière pas conforme à la réalité. En effet, comme l'a indiqué le recourant lui-même dans son écriture au Tribunal administratif fédéral, il aurait tenté durant trois mois de sauver son couple avant de se résoudre à la requête en divorce. Dans sa déclaration spontanée, l'ex-épouse mentionne également qu'ils ont "essayé de continuer". Dès lors, force est de constater que le recourant aurait été au courant des agissements de son épouse au moment de la signature de la déclaration commune. Il ne pouvait pas, par conséquent, attester vivre une communauté conjugale effective et stable. A cet égard, la déclaration du fils de l'ex-épouse qui dit "en avoir voulu un peu à sa mère de ne pas être restée avec lui" ne signifie nullement qu'il existait une relation extra-conjugale. Elle démontre que le couple n'avait pas trouvé d'entente commune et que sa mère ne supportait guère de voir le recourant "travailler comme une bête" (déclaration spontanée de B.________ du 2 mars 2011), raison pour laquelle une requête en divorce a finalement été déposée.</w:t>
      </w:r>
    </w:p>
    <w:p>
      <w:r>
        <w:rPr>
          <w:b/>
        </w:rPr>
        <w:t>E. 3.4.2</w:t>
      </w:r>
    </w:p>
    <w:p>
      <w:r>
        <w:t>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que le 27 septembre 2007, au moment de la signature de la déclaration commune, il ignorait - dans la mesure où ce fait s'avérerait exact - que son ex-épouse était tombée amoureuse d'un autre homme. Les éléments qu'il a avancés ne sont pas de nature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