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1C_255/2018 vom 1. Juni 2018</w:t>
      </w:r>
    </w:p>
    <w:p>
      <w:r>
        <w:t>Bundesgericht, 2018-06-01, FR</w:t>
      </w:r>
    </w:p>
    <w:p>
      <w:r>
        <w:rPr>
          <w:b/>
        </w:rPr>
        <w:t xml:space="preserve">Quelle: </w:t>
      </w:r>
      <w:r>
        <w:t>https://mcp.opencaselaw.ch/entscheid/bger_1C_255_2018</w:t>
      </w:r>
    </w:p>
    <w:p>
      <w:r>
        <w:t>FR: TF 1C_255/2018 du 1 juin 2018</w:t>
      </w:r>
    </w:p>
    <w:p>
      <w:r>
        <w:t>IT: TF 1C_255/2018 del 1 giugno 2018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d'entraide (des infractions de corruption qui ne sont ni fiscales ni politiques) et de la nature de la transmission envisagée, portant sur la documentation relative à trois comptes bancaires et à des procès-verbaux établis dans le cadre d'une enquête nationale, le cas ne revêt en soi aucune importance particulière.</w:t>
      </w:r>
    </w:p>
    <w:p>
      <w:r>
        <w:rPr>
          <w:b/>
        </w:rPr>
        <w:t>E. 1.3</w:t>
      </w:r>
    </w:p>
    <w:p>
      <w:r>
        <w:t>Selon le recourant, il serait démontré que la procédure à Hong Kong viole des principes fondamentaux et comporte des vices graves. Il se plaint en particulier d'être totalement exclu de l'administration des preuves alors qu'il aurait le statut de prévenu. Il reproche à la Cour des plaintes d'avoir considéré qu'il n'apportait pas la preuve d'une telle exclusion, alors qu'il s'agit de la preuve d'un fait négatif impossible à rapporter.</w:t>
      </w:r>
    </w:p>
    <w:p>
      <w:r>
        <w:t>La jurisprudence constante exige de celui qui se prétend victime d'un traitement prohibé dans l'Etat requérant qu'il rende vraisemblable, sur la base d'indices concrets, l'existence d'un risque sérieux et objectif d'un tel traitement ( ATF 123 II 161 consid. 6b p. 167, 511 consid. 5b p. 517; 122 II 373 consid. 2a p. 377, et les arrêts cités). En l'occurrence, de tels indices font défaut. Rien ne permet d'affirmer, comme le fait le recourant, qu'il encoure le risque de se voir condamner sans jamais avoir pu faire valoir ses objections à un stade ultérieur. A ce stade, le recourant a déjà été entendu plusieurs fois à Hong Kong - il a fait le choix de se taire - et rien ne permet d'affirmer que les règles déduites de l'art. 14 par. 1 du Pacte ONU II, qui s'imposent à l'Etat requérant, ne s'appliqueront pas si l'enquête de l'ICAC devait aboutir à une procédure judiciaire. Par ailleurs, le fait que la norme pénale étrangère contient une présomption - réfragable - n'est pas à lui seul constitutif d'une violation de la présomption d'innocence.</w:t>
      </w:r>
    </w:p>
    <w:p>
      <w:r>
        <w:rPr>
          <w:b/>
        </w:rPr>
        <w:t>E. 1.4</w:t>
      </w:r>
    </w:p>
    <w:p>
      <w:r>
        <w:t>La jurisprudence s'est déjà prononcée sur la possibilité de transmettre à l'autorité étrangère des procès-verbaux d'audition d'un prévenu en Suisse. La personne entendue en Suisse peut ainsi se prévaloir de son droit de refuser de déposer dans le cadre de la procédure d'entraide. Il lui est en effet loisible d'expliquer que certaines déclarations, susceptibles de lui porter préjudice, n'auraient pas été faites si l'intéressé avait su qu'une autorité étrangère pourrait en prendre connaissance. Saisie d'une telle objection, l'autorité suisse d'exécution doit alors se livrer à une pesée d'intérêts dans le cadre de l'examen de la proportionnalité; l'intéressé peut pour sa part proposer le caviardage de certaines déclarations particulières, soit qu'elles portent de manière disproportionnée atteinte à la sphère privée, soit qu'elles sont sans rapport avec l'enquête ouverte à l'étranger. De ce point de vue, la protection des personnes entendues en Suisse apparaît suffisante (arrêts 1C_55/2013 du 28 janvier 2013 consid. 2.2, 1A.268/2004 du 11 février 2005 consid. 4.1). Cette pratique s'applique également lorsque celui qui est entendu en Suisse a la qualité de prévenu à l'étranger; il peut notamment expliquer, dans le cadre de la procédure d'entraide, quelles sont les déclarations faites en Suisse qu'il se serait abstenu de faire s'il avait envisagé la possibilité d'une transmission à l'étranger. Il n'y a donc aucune question de principe sur ce point.</w:t>
      </w:r>
    </w:p>
    <w:p>
      <w:r>
        <w:rPr>
          <w:b/>
        </w:rPr>
        <w:t>E. 1.5</w:t>
      </w:r>
    </w:p>
    <w:p>
      <w:r>
        <w:t>Il n'y en a pas non plus s'agissant du statut de l'ICAC, commission indépendante dont les enquêtes peuvent conduire à l'ouverture d'une procédure pénale ordinaire au sens de l' art. 1 al. 3 EIMP (arrêt 1A.9/1989 du 22 septembre 1989). Le recourant reproche à la Cour des plaintes de s'être fondée sur des renseignements obtenus sur Internet, mais il ne remet pas en cause le fait que l'entraide judiciaire peut être accordée à une commission d'enquête dans la mesure où ses investigations constituent le préalable à la saisine des autorités judiciaires compétentes pour procéder à une mise en accusation ( ATF 109 Ib 50 consid. 3 concernant la Securities and Exchange Commission) et peuvent aboutir au renvoi devant un juge pénal ( ATF 121 II 153 ).</w:t>
      </w:r>
    </w:p>
    <w:p>
      <w:r>
        <w:rPr>
          <w:b/>
        </w:rPr>
        <w:t>E. 2</w:t>
      </w:r>
    </w:p>
    <w:p>
      <w:r>
        <w:t>En définitive, le cas ne revêt aucune importance particulière au sens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t>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