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1C_254/2019 vom 16. Mai 2019</w:t>
      </w:r>
    </w:p>
    <w:p>
      <w:r>
        <w:t>Bundesgericht, 2019-05-16, FR</w:t>
      </w:r>
    </w:p>
    <w:p>
      <w:r>
        <w:rPr>
          <w:b/>
        </w:rPr>
        <w:t xml:space="preserve">Quelle: </w:t>
      </w:r>
      <w:r>
        <w:t>https://mcp.opencaselaw.ch/entscheid/bger_1C_254_2019</w:t>
      </w:r>
    </w:p>
    <w:p>
      <w:r>
        <w:t>FR: TF 1C_254/2019 du 16 mai 2019</w:t>
      </w:r>
    </w:p>
    <w:p>
      <w:r>
        <w:t>IT: TF 1C_254/2019 del 16 maggio 2019</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l'al. 1 de la seconde disposition susmentionnée, le recours est recevable à l'encontre d'un arrêt du Tribunal pénal fédéral en matière d'entraide judiciaire internationale si celui-ci a pour objet notamment la transmission de renseignements concernant le domaine secret et s'il concerne un cas particulièrement important. Un cas est particulièrement important notamment lorsqu'il y a des raisons de supposer que la procédure à l'étranger viole des principes fondamentaux ou comporte d'autres vices graves ( art. 84 al. 2 LTF ).</w:t>
      </w:r>
    </w:p>
    <w:p>
      <w:r>
        <w:t>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p. 254).</w:t>
      </w:r>
    </w:p>
    <w:p>
      <w:r>
        <w:t>En vertu de l' art. 42 al. 2 LTF , il incombe au recourant de démontrer que les conditions d'entrée en matière posées à l' art. 84 LTF sont réunies ( ATF 139 IV 294 consid. 1.1 p. 297).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(arrêt 1C_393/2018 du 14 décembre 2018 consid. 1.4 et 1.5 destinés à la publication).</w:t>
      </w:r>
    </w:p>
    <w:p>
      <w:r>
        <w:rPr>
          <w:b/>
        </w:rPr>
        <w:t>E. 1.2</w:t>
      </w:r>
    </w:p>
    <w:p>
      <w:r>
        <w:t>La présente cause porte certes sur la transmission de documents bancaires, soit des renseignements touchant le domaine secret. Toutefois, compte tenu des faits à l'origine de la demande - soit des infractions dont la recourante ne prétend pas qu'elles auraient un caractère politique ou fiscal - et de la nature de la transmission envisagée - limitée à la documentation relative à un compte bancaire -, le cas ne revêt en soi aucune importance particulière.</w:t>
      </w:r>
    </w:p>
    <w:p>
      <w:r>
        <w:rPr>
          <w:b/>
        </w:rPr>
        <w:t>E. 1.3</w:t>
      </w:r>
    </w:p>
    <w:p>
      <w:r>
        <w:t>La recourante soutient que tel serait cependant le cas dès lors que l'autorité précédente se serait écartée des principes jurisprudentiels interdisant notamment une transmission "en vrac" (sur l'obligation pour les autorités d'exécution de procéder à un tri, ATF 131 II 132 consid. 2.4 p. 136; 130 II 14 consid. 4.4 p. 17 s.), respectivement aurait considéré que la recourante aurait eu suffisamment de temps pour participer à cette mesure.</w:t>
      </w:r>
    </w:p>
    <w:p>
      <w:r>
        <w:rPr>
          <w:b/>
        </w:rPr>
        <w:t>E. 1.4</w:t>
      </w:r>
    </w:p>
    <w:p>
      <w:r>
        <w:t>Il ressort tout d'abord de l'arrêt attaqué que le Ministère public a effectué un tri des documents saisis; il a ainsi identifié d'autres versements qui permettraient de retracer les fonds d'origine délictueuse (cf. consid. 2.4.4.1 de l'arrêt entrepris). Partant, un cas particulièrement important ne saurait résulter du seul fait que la recourante conteste le résultat du tri opéré notamment en application de la jurisprudence permettant d'interpréter de manière extensive une requête d'entraide (sur cette question, ATF 136 IV 82 consid. 4.1 p. 85 s.; 121 II 241 consid. 3a p. 243; arrêts 1C_622/2018 du 29 novembre 2018 consid. 1.3, 1A.212/2001 du 21 mars 2002 du consid. 9.1 et 9.2.2).</w:t>
      </w:r>
    </w:p>
    <w:p>
      <w:r>
        <w:t>S'agissant ensuite de son droit de se prononcer sur ce tri ( ATF 130 II 14 consid. 4.4 p. 18), une éventuelle violation à cet égard peut être réparée au cours de la procédure de recours durant laquelle la recourante peut s'exprimer de manière complète (arrêt 1C_504/2015 du 2 octobre 2015 consid. 1.4 publié in RDAF 2015 I 496). A la lecture de son mémoire, on constate d'ailleurs que, préalablement à son recours au Tribunal pénal fédéral, la recourante a eu accès au dossier (cf. en particulier act. 2 ad 35 p. 8). Elle reconnaît de plus qu'au cours de la procédure de recours, elle a pu proposer un tri (cf. act. 2 ad 38 p. 8), ayant ainsi eu l'occasion de présenter tous ses moyens.</w:t>
      </w:r>
    </w:p>
    <w:p>
      <w:r>
        <w:rPr>
          <w:b/>
        </w:rPr>
        <w:t>E. 2</w:t>
      </w:r>
    </w:p>
    <w:p>
      <w:r>
        <w:t>Il s'ensuit que le recours est irrecevable.</w:t>
      </w:r>
    </w:p>
    <w:p>
      <w:r>
        <w:t>La recourante,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