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1C_254/2009 vom 25. September 2009</w:t>
      </w:r>
    </w:p>
    <w:p>
      <w:r>
        <w:t>Bundesgericht, 2009-09-25, DE</w:t>
      </w:r>
    </w:p>
    <w:p>
      <w:r>
        <w:rPr>
          <w:b/>
        </w:rPr>
        <w:t xml:space="preserve">Quelle: </w:t>
      </w:r>
      <w:r>
        <w:t>https://mcp.opencaselaw.ch/entscheid/bger_1C_254_2009</w:t>
      </w:r>
    </w:p>
    <w:p>
      <w:r>
        <w:t>FR: TF 1C_254/2009 du 25 septembre 2009</w:t>
      </w:r>
    </w:p>
    <w:p>
      <w:r>
        <w:t>IT: TF 1C_254/2009 del 25 settembre 2009</w:t>
      </w:r>
    </w:p>
    <w:p>
      <w:pPr>
        <w:pStyle w:val="Heading2"/>
      </w:pPr>
      <w:r>
        <w:t>Erwägungen</w:t>
      </w:r>
    </w:p>
    <w:p>
      <w:r>
        <w:rPr>
          <w:b/>
        </w:rPr>
        <w:t>E. 1.1</w:t>
      </w:r>
    </w:p>
    <w:p>
      <w:r>
        <w:t>Das angefochtene Urteil des Verwaltungsgerichts ist ein Entscheid einer letzten kantonalen Instanz ( Art. 86 Abs. 1 lit. d BGG ). Ihm liegt ein Beschwerdeverfahren betreffend eine bewilligungspflichtige zonenwidrige Anlage ausserhalb der Bauzone und damit eine öffentlich-rechtliche Angelegenheit zu Grunde. Das Bundesgerichtsgesetz enthält auf dem Gebiet des Bau- und Planungsrechts keinen Ausschlussgrund von der Beschwerde in öffentlich-rechtlichen Angelegenheiten ( Art. 82 lit. a und Art. 83 BGG ).</w:t>
      </w:r>
    </w:p>
    <w:p>
      <w:r>
        <w:rPr>
          <w:b/>
        </w:rPr>
        <w:t>E. 1.2</w:t>
      </w:r>
    </w:p>
    <w:p>
      <w:r>
        <w:t>Mit dem angefochtenen Entscheid wird auf einem Gelände in der Landwirtschaftszone und damit ausserhalb der Bauzone kantonal letztinstanzlich ein Hundeausbildungsplatz mit verschiedenen Auflagen und Bedingungen bewilligt. Dieses Erkenntnis stellt einen Endentscheid im Sinne von Art. 90 BGG dar.</w:t>
      </w:r>
    </w:p>
    <w:p>
      <w:r>
        <w:rPr>
          <w:b/>
        </w:rPr>
        <w:t>E. 1.3</w:t>
      </w:r>
    </w:p>
    <w:p>
      <w:r>
        <w:t>Die Beschwerdeberechtigung des Bundesamts für Raumentwicklung ergibt sich aus Art. 89 Abs. 2 lit. a BGG i.V.m. Art. 48 Abs. 4 der Verordnung vom 28. Juni 2000 über die Raumplanung (Raumplanungsverordnung, RPV, SR 700.1) .</w:t>
      </w:r>
    </w:p>
    <w:p>
      <w:r>
        <w:rPr>
          <w:b/>
        </w:rPr>
        <w:t>E. 1.4</w:t>
      </w:r>
    </w:p>
    <w:p>
      <w:r>
        <w:t>Die übrigen Sachurteilsvoraussetzungen sind erfüllt und geben zu keinen weiteren Bemerkungen Anlass. Auf die Beschwerde ist somit einzutreten.</w:t>
      </w:r>
    </w:p>
    <w:p>
      <w:r>
        <w:rPr>
          <w:b/>
        </w:rPr>
        <w:t>E. 2.1</w:t>
      </w:r>
    </w:p>
    <w:p>
      <w:r>
        <w:t>Das Verwaltungsgericht geht zutreffend davon aus, der in Frage stehende Hundeausbildungsplatz sei in der Landwirtschaftszone zonenfremd. Seiner Ansicht nach kann die verlangte Umnutzung des Landwirtschaftslandes daher nur als Ausnahme im Sinne von Art. 24a RPG (SR 700) bewilligt werden. Mit Ausnahme der Beleuchtungseinrichtungen seien diese Voraussetzungen für den umstrittenen Hundeausbildungsplatz erfüllt, weil dafür keine baulichen Massnahmen im Sinne von Art. 22 Abs. 2 lit. a RPG erforderlich seien. Die für den Betrieb notwendigen "Agility-Geräte" seien wegen ihrer geringen Grösse keine bewilligungspflichtigen Bauten. Anders verhalte es sich mit den Beleuchtungseinrichtungen.</w:t>
      </w:r>
    </w:p>
    <w:p>
      <w:r>
        <w:rPr>
          <w:b/>
        </w:rPr>
        <w:t>E. 2.2</w:t>
      </w:r>
    </w:p>
    <w:p>
      <w:r>
        <w:t>Das Verwaltungsgericht hat den umstrittenen Hundeausbildungsplatz zu Recht als Anlage im Sinne von Art. 24 ff. RPG bezeichnet, welche nach Ziff. 1.9 der Verfügung des kantonalen Amtes für Raumplanung vom 13. November 2008 die Emissionsbegrenzungen nach Art. 7 LSV einzuhalten hat. Erfordert die Änderung des Zwecks einer Baute oder Anlage ausserhalb der Bauzonen keine baulichen Massnahmen im Sinne von Art. 22 Abs. 1 RPG , so ist gemäss Art. 24a Abs. 1 RPG eine Ausnahmebewilligung zu erteilen, wenn durch die Zweckänderung keine neuen Auswirkungen auf Raum, Erschliessung und Umwelt entstehen (lit. a) und die Änderung nach keinem anderen Bundeserlass unzulässig ist (lit. b).</w:t>
      </w:r>
    </w:p>
    <w:p>
      <w:r>
        <w:rPr>
          <w:b/>
        </w:rPr>
        <w:t>E. 2.3</w:t>
      </w:r>
    </w:p>
    <w:p>
      <w:r>
        <w:t>Nach dem klaren Wortlaut von Art. 24a RPG ist es nicht massgebend, ob eine zonenwidrige Anlage ausserhalb der Bauzone erhebliche oder bloss geringfügige Auswirkungen hat; sobald die Zweckänderung von Land ausserhalb der Bauzone mit einer Mehrbelastung der Erschliessung oder der Umwelt verbunden ist, fällt eine Bewilligung gemäss Art. 24a RPG ausser Betracht (Urteil des Bundesgerichts 1A.214/2002 vom 12. September 2003 E. 5.1.1, in ZBl 106/2005 S. 152; Urteil 1A.274/2006 vom 6. August 2007 E. 3.2.3; WALDMANN/HÄNNI, Raumplanungsgesetz, 2006, Art. 24a N. 6).</w:t>
      </w:r>
    </w:p>
    <w:p>
      <w:r>
        <w:t>Es ist offensichtlich und bedarf keiner weiteren Begründung, dass der Hundeausbildungsplatz zu einer Zunahme des Verkehrsaufkommens und daher zu einer Mehrbelastung von Erschliessung und Umwelt im Sinne von Art. 24a RPG führen würde. Er kann somit entgegen der Auffassung des Verwaltungsgerichts und des Beschwerdegegners nicht gestützt auf Art. 24a RPG bewilligt werden. Der Umstand, dass einzelne auf dem Platz aufgestellte "Agility-Geräte" für sich betrachtet nicht baubewilligungspflichtig sind, vermag daran nichts zu ändern. Entscheidend ist eine Gesamtbetrachtung der umstrittenen Anlage.</w:t>
      </w:r>
    </w:p>
    <w:p>
      <w:r>
        <w:rPr>
          <w:b/>
        </w:rPr>
        <w:t>E. 3</w:t>
      </w:r>
    </w:p>
    <w:p>
      <w:r>
        <w:t>Diese Erwägungen führen zum Ergebnis, dass die Beschwerde des Bundesamtes für Raumentwicklung gutzuheissen und die gestützt auf Art. 24a RPG erteilte Baubewilligung aufzuheben ist.</w:t>
      </w:r>
    </w:p>
    <w:p>
      <w:r>
        <w:t>Die Kosten des bundesgerichtlichen Verfahrens sind dem unterliegenden privaten Beschwerdegegner aufzuerlegen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