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1C_253/2021 vom 19. Mai 2021</w:t>
      </w:r>
    </w:p>
    <w:p>
      <w:r>
        <w:t>Bundesgericht, 2021-05-19, DE</w:t>
      </w:r>
    </w:p>
    <w:p>
      <w:r>
        <w:rPr>
          <w:b/>
        </w:rPr>
        <w:t xml:space="preserve">Quelle: </w:t>
      </w:r>
      <w:r>
        <w:t>https://mcp.opencaselaw.ch/entscheid/bger_1C_253_2021</w:t>
      </w:r>
    </w:p>
    <w:p>
      <w:r>
        <w:t>FR: TF 1C_253/2021 du 19 mai 2021</w:t>
      </w:r>
    </w:p>
    <w:p>
      <w:r>
        <w:t>IT: TF 1C_253/2021 del 19 maggio 2021</w:t>
      </w:r>
    </w:p>
    <w:p>
      <w:pPr>
        <w:pStyle w:val="Heading2"/>
      </w:pPr>
      <w:r>
        <w:t>Erwägungen</w:t>
      </w:r>
    </w:p>
    <w:p>
      <w:r>
        <w:rPr>
          <w:b/>
        </w:rPr>
        <w:t>E. 1</w:t>
      </w:r>
    </w:p>
    <w:p>
      <w:r>
        <w:t>A.________ erstattete am 13. November 2020 Strafanzeige gegen C.________ und B.________ wegen Amtsmissbrauchs, Begünstigung und Verstosses gegen Art. 275 StGB . Er machte dabei sinngemäss geltend, er habe im Rahmen eines bei der Staatsanwaltschaft Winterthur/Unterland hängigen Verfahrens mit Schreiben vom 20. Juni 2020 der politisch Verantwortlichen der Stadtpolizei Winterthur, der damaligen Stadträtin C.________, Fragen gestellt und nicht näher umschriebene Unterlagen herausverlangt, jedoch nie eine Antwort erhalten. In der Folge sei er mittels E-Mail vom 31. Oktober 2020 an deren Nachfolgerin, B.________, gelangt, welche ihm innert der von ihm angesetzten Frist bis 11. November 2020 ebenfalls keine Antwort gegeben habe.</w:t>
      </w:r>
    </w:p>
    <w:p>
      <w:r>
        <w:t>Die Staatsanwaltschaft II des Kantons Zürich überwies die Akten mit Verfügung vom 28. Dezember 2020 an die III. Strafkammer des Obergerichts des Kantons Zürich, um über die Ermächtigung zur Durchführung einer Strafuntersuchung zu entscheiden. Die III. Strafkammer des Obergerichts des Kantons Zürich erteilte mit Beschluss vom 1. April 2021 der Staatsanwaltschaft die Ermächtigung zur Strafverfolgung nicht. Sie führte zur Begründung zusammenfassend aus, dass das Nichtreagieren der beiden Angezeigten von vornherein keinen Straftatbestand erfülle. Es bestehe in keinerlei Hinsicht ein strafrechtlich relevanter Anfangsverdacht.</w:t>
      </w:r>
    </w:p>
    <w:p>
      <w:r>
        <w:rPr>
          <w:b/>
        </w:rPr>
        <w:t>E. 2</w:t>
      </w:r>
    </w:p>
    <w:p>
      <w:r>
        <w:t>A.________ führt mit Eingabe vom 10. Mai 2021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führte aus, weshalb das angezeigte Verhalten nach ihrer Ansicht keinen Straftatbestand erfülle. Mit diesen Ausführungen setzt sich der Beschwerdeführer nicht auseinander. Er vermag nicht im Einzelnen und verständlich aufzuzeigen, inwiefern die Begründung der III. Strafkammer, die zur Nichterteilung der Ermächtigung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