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1C_253/2019 vom 15. Mai 2019</w:t>
      </w:r>
    </w:p>
    <w:p>
      <w:r>
        <w:t>Bundesgericht, 2019-05-15, DE</w:t>
      </w:r>
    </w:p>
    <w:p>
      <w:r>
        <w:rPr>
          <w:b/>
        </w:rPr>
        <w:t xml:space="preserve">Quelle: </w:t>
      </w:r>
      <w:r>
        <w:t>https://mcp.opencaselaw.ch/entscheid/bger_1C_253_2019</w:t>
      </w:r>
    </w:p>
    <w:p>
      <w:r>
        <w:t>FR: TF 1C_253/2019 du 15 mai 2019</w:t>
      </w:r>
    </w:p>
    <w:p>
      <w:r>
        <w:t>IT: TF 1C_253/2019 del 15 maggio 2019</w:t>
      </w:r>
    </w:p>
    <w:p>
      <w:pPr>
        <w:pStyle w:val="Heading2"/>
      </w:pPr>
      <w:r>
        <w:t>Erwägungen</w:t>
      </w:r>
    </w:p>
    <w:p>
      <w:r>
        <w:rPr>
          <w:b/>
        </w:rPr>
        <w:t>E. 1</w:t>
      </w:r>
    </w:p>
    <w:p>
      <w:r>
        <w:t>Das Strassenverkehrsamt des Kantons Aargau verfügte am 21. September 2018, dass der Führerausweis von A.________ auf unbestimmte Zeit entzogen bleibe. Die Wiedererteilung des Führerausweises wurde von der Einhaltung und dem Nachweis einer mindestens sechsmonatigen Betäubungsmittelabstinenz auf Opiate, Kokain, Methadon, Gammahydroxybuttersäure und Amphetamin abhängig gemacht. Eine dagegen von A.________ erhobene Beschwerde wies das Departement Volkswirtschaft und Inneres des Kantons Aargau mit Entscheid vom 11. Dezember 2018 ab, soweit es darauf eintrat. Gegen den Entscheid des Departements erhob A.________ am 13. März 2019 Beschwerde. Das Verwaltungsgericht des Kantons Aargau trat mit Urteil vom 26. März 2019 auf die Beschwerde nicht ein. Zur Begründung führte es zusammenfassend aus, dass innert der Beschwerdefrist keine den Begründungsanforderungen genügende Rechtsschrift eingegangen sei. Die Beschwerdefrist sei nicht erstreckbar. Ausserdem sei der Beschwerdeführer mit der Rechtsmittelbelehrung auf die Erfordernisse einer Beschwerde hingewiesen worden.</w:t>
      </w:r>
    </w:p>
    <w:p>
      <w:r>
        <w:rPr>
          <w:b/>
        </w:rPr>
        <w:t>E. 2</w:t>
      </w:r>
    </w:p>
    <w:p>
      <w:r>
        <w:t>A.________ führt mit Eingabe vom 11. Mai 2019 Beschwerde in öffentlich-rechtlichen Angelegenheiten gegen das Urteil des Verwaltungsgerichts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Ausführungen nicht aufzuzeigen, dass das Verwaltungsgericht Recht im Sinne von Art. 42 Abs. 2 BGG verletzt hätte, als es auf die Beschwerde nicht eintrat. Aus seinen Ausführungen ergibt sich nicht, inwiefern die Begründung des Verwaltungsgerichts, die zum Nichteintreten auf die Beschwerde führte,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