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253/2017 vom 10. Mai 2017</w:t>
      </w:r>
    </w:p>
    <w:p>
      <w:r>
        <w:t>Bundesgericht, 2017-05-10, DE</w:t>
      </w:r>
    </w:p>
    <w:p>
      <w:r>
        <w:rPr>
          <w:b/>
        </w:rPr>
        <w:t xml:space="preserve">Quelle: </w:t>
      </w:r>
      <w:r>
        <w:t>https://mcp.opencaselaw.ch/entscheid/bger_1C_253_2017</w:t>
      </w:r>
    </w:p>
    <w:p>
      <w:r>
        <w:t>FR: TF 1C 253/2017 du 10 mai 2017</w:t>
      </w:r>
    </w:p>
    <w:p>
      <w:r>
        <w:t>IT: TF 1C 253/2017 del 10 maggio 2017</w:t>
      </w:r>
    </w:p>
    <w:p>
      <w:pPr>
        <w:pStyle w:val="Heading2"/>
      </w:pPr>
      <w:r>
        <w:t>Regeste</w:t>
      </w:r>
    </w:p>
    <w:p>
      <w:r>
        <w:t>Opferhilfe; Staatshaftung | Strafprozess</w:t>
      </w:r>
    </w:p>
    <w:p>
      <w:pPr>
        <w:pStyle w:val="Heading2"/>
      </w:pPr>
      <w:r>
        <w:t>Erwägungen</w:t>
      </w:r>
    </w:p>
    <w:p>
      <w:r>
        <w:rPr>
          <w:b/>
        </w:rPr>
        <w:t>E. 1</w:t>
      </w:r>
    </w:p>
    <w:p>
      <w:r>
        <w:t>A.________ gelangte mit einer als "Gesuch um Opferhilfe Bern inklusive Staatshaftung" überschriebenen Eingabe vom 21. März 2017 an das Verwaltungsgericht des Kantons Bern. Dieses trat mit Urteil vom 31. März 2017 auf die Eingabe nicht ein. Zur Begründung führte das Verwaltungsgericht zusammenfassend aus, dass sich die Eingabe in eine lange Reihe von ausschweifenden, zum Teil kaum verständlichen Eingaben reihe, in welchen A.________ vom Staat Geldbeträge als Schadenersatz und Wiedergutmachung für angeblich über Jahre erlittenen Unbill fordere. Die Generalstaatsanwaltschaft des Kantons Bern habe A.________ in diesem Zusammenhang bereits die Prozessfähigkeit abgesprochen, was vom Verwaltungsgericht geschützt wurde. Auch vorliegend beantrage A.________ eine Wiedergutmachung nach Opferhilfe, wiederum im Wesentlichen unter Bezugnahme auf die Vorfälle vom 22. April und 28. Oktober 2014. A.________ sei die Prozessfähigkeit abzusprechen und auf seine Eingabe sei nicht einzutreten, wobei auch von einer Weiterleitung des Gesuchs abzusehen sei.</w:t>
      </w:r>
    </w:p>
    <w:p>
      <w:r>
        <w:rPr>
          <w:b/>
        </w:rPr>
        <w:t>E. 2</w:t>
      </w:r>
    </w:p>
    <w:p>
      <w:r>
        <w:t>A.________ erhob mit Eingabe vom 8. Mai 2017 Beschwerde in öffentlich-rechtlichen Angelegenheiten gegen das Urteil des Verwaltungsgerichts des Kantons Bern vom 31. März 2017.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setzt sich mit seinen weitschweifigen und nicht sachbezogenen Ausführungen nicht mit der Begründung des Verwaltungsgerichts, die zum Nichteintreten auf seine Eingabe führte, auseinander. Er vermag folglich nicht aufzuzeigen,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